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6"/>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16</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510163</w:t>
      </w:r>
      <w:r>
        <w:rPr>
          <w:b/>
          <w:sz w:val="24"/>
          <w:szCs w:val="24"/>
          <w:highlight w:val="none"/>
        </w:rPr>
        <w:t xml:space="preserve">                      </w:t>
      </w:r>
    </w:p>
    <w:bookmarkEnd w:id="0"/>
    <w:bookmarkEnd w:id="1"/>
    <w:p w14:paraId="5C25862B">
      <w:pPr>
        <w:pStyle w:val="6"/>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highlight w:val="none"/>
          <w:lang w:eastAsia="zh-CN"/>
        </w:rPr>
        <w:t>Bengaluru, India, August 25</w:t>
      </w:r>
      <w:r>
        <w:rPr>
          <w:rFonts w:hint="default" w:ascii="Times New Roman" w:hAnsi="Times New Roman" w:eastAsia="宋体" w:cs="Times New Roman"/>
          <w:b/>
          <w:sz w:val="24"/>
          <w:szCs w:val="24"/>
          <w:highlight w:val="none"/>
          <w:vertAlign w:val="superscript"/>
          <w:lang w:eastAsia="zh-CN"/>
        </w:rPr>
        <w:t>th</w:t>
      </w:r>
      <w:r>
        <w:rPr>
          <w:rFonts w:hint="default" w:ascii="Times New Roman" w:hAnsi="Times New Roman" w:eastAsia="宋体" w:cs="Times New Roman"/>
          <w:b/>
          <w:sz w:val="24"/>
          <w:szCs w:val="24"/>
          <w:highlight w:val="none"/>
          <w:lang w:eastAsia="zh-CN"/>
        </w:rPr>
        <w:t xml:space="preserve"> – 29</w:t>
      </w:r>
      <w:r>
        <w:rPr>
          <w:rFonts w:hint="default" w:ascii="Times New Roman" w:hAnsi="Times New Roman" w:eastAsia="宋体" w:cs="Times New Roman"/>
          <w:b/>
          <w:sz w:val="24"/>
          <w:szCs w:val="24"/>
          <w:highlight w:val="none"/>
          <w:vertAlign w:val="superscript"/>
          <w:lang w:eastAsia="zh-CN"/>
        </w:rPr>
        <w:t>th</w:t>
      </w:r>
      <w:r>
        <w:rPr>
          <w:rFonts w:hint="default" w:ascii="Times New Roman" w:hAnsi="Times New Roman" w:cs="Times New Roman"/>
          <w:b/>
          <w:bCs/>
          <w:sz w:val="24"/>
          <w:highlight w:val="none"/>
        </w:rPr>
        <w:t>,</w:t>
      </w:r>
      <w:r>
        <w:rPr>
          <w:rFonts w:hint="eastAsia" w:eastAsia="宋体" w:cs="Times New Roman"/>
          <w:b/>
          <w:bCs/>
          <w:sz w:val="24"/>
          <w:highlight w:val="none"/>
          <w:lang w:val="en-US" w:eastAsia="zh-CN"/>
        </w:rPr>
        <w:t xml:space="preserve"> </w:t>
      </w:r>
      <w:r>
        <w:rPr>
          <w:rFonts w:hint="default" w:ascii="Times New Roman" w:hAnsi="Times New Roman" w:cs="Times New Roman"/>
          <w:b/>
          <w:bCs/>
          <w:sz w:val="24"/>
          <w:highlight w:val="none"/>
        </w:rPr>
        <w:t>2025</w:t>
      </w:r>
    </w:p>
    <w:p w14:paraId="607309BB">
      <w:pPr>
        <w:tabs>
          <w:tab w:val="left" w:pos="1985"/>
        </w:tabs>
        <w:rPr>
          <w:rFonts w:ascii="Times New Roman" w:hAnsi="Times New Roman"/>
          <w:b/>
          <w:sz w:val="22"/>
          <w:highlight w:val="cyan"/>
        </w:rPr>
      </w:pPr>
    </w:p>
    <w:p w14:paraId="51C17403">
      <w:pPr>
        <w:tabs>
          <w:tab w:val="left" w:pos="1765"/>
        </w:tabs>
        <w:rPr>
          <w:rFonts w:hint="eastAsia" w:ascii="Times New Roman" w:hAnsi="Times New Roman" w:eastAsia="宋体"/>
          <w:b/>
          <w:sz w:val="22"/>
          <w:highlight w:val="none"/>
          <w:lang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17</w:t>
      </w:r>
      <w:r>
        <w:rPr>
          <w:rFonts w:hint="eastAsia" w:ascii="Times New Roman" w:hAnsi="Times New Roman"/>
          <w:sz w:val="22"/>
          <w:highlight w:val="none"/>
        </w:rPr>
        <w:t>.</w:t>
      </w:r>
      <w:r>
        <w:rPr>
          <w:rFonts w:hint="eastAsia" w:ascii="Times New Roman" w:hAnsi="Times New Roman"/>
          <w:sz w:val="22"/>
          <w:highlight w:val="none"/>
          <w:lang w:val="en-US" w:eastAsia="zh-CN"/>
        </w:rPr>
        <w:t>2</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r>
        <w:rPr>
          <w:rFonts w:ascii="Times New Roman" w:hAnsi="Times New Roman"/>
          <w:b/>
          <w:sz w:val="22"/>
        </w:rPr>
        <w:t xml:space="preserve"> </w:t>
      </w:r>
      <w:bookmarkStart w:id="2" w:name="OLE_LINK24"/>
      <w:bookmarkStart w:id="3" w:name="OLE_LINK23"/>
      <w:bookmarkStart w:id="4" w:name="OLE_LINK8"/>
      <w:bookmarkStart w:id="5" w:name="OLE_LINK7"/>
      <w:r>
        <w:rPr>
          <w:rFonts w:ascii="Times New Roman" w:hAnsi="Times New Roman"/>
          <w:sz w:val="22"/>
        </w:rPr>
        <w:t>D</w:t>
      </w:r>
      <w:r>
        <w:rPr>
          <w:rFonts w:hint="eastAsia" w:ascii="Times New Roman" w:hAnsi="Times New Roman"/>
          <w:sz w:val="22"/>
        </w:rPr>
        <w:t xml:space="preserve">iscussion on </w:t>
      </w:r>
      <w:bookmarkEnd w:id="2"/>
      <w:bookmarkEnd w:id="3"/>
      <w:r>
        <w:rPr>
          <w:rFonts w:hint="eastAsia" w:ascii="Times New Roman" w:hAnsi="Times New Roman"/>
          <w:sz w:val="22"/>
          <w:lang w:val="en-US" w:eastAsia="zh-CN"/>
        </w:rPr>
        <w:t>general aspects for AI/ML for NR air interface</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B446007">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102</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W</w:t>
      </w:r>
      <w:r>
        <w:rPr>
          <w:rFonts w:ascii="Times New Roman" w:hAnsi="Times New Roman"/>
          <w:sz w:val="20"/>
          <w:szCs w:val="20"/>
        </w:rPr>
        <w:t>ID on Artificial Intelligence (AI)/Machine Learning (ML) for NR Air Interface was approved [1]. In RAN #</w:t>
      </w:r>
      <w:r>
        <w:rPr>
          <w:rFonts w:hint="eastAsia" w:ascii="Times New Roman" w:hAnsi="Times New Roman"/>
          <w:sz w:val="20"/>
          <w:szCs w:val="20"/>
          <w:lang w:val="en-US" w:eastAsia="zh-CN"/>
        </w:rPr>
        <w:t>106</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W</w:t>
      </w:r>
      <w:r>
        <w:rPr>
          <w:rFonts w:ascii="Times New Roman" w:hAnsi="Times New Roman"/>
          <w:sz w:val="20"/>
          <w:szCs w:val="20"/>
        </w:rPr>
        <w:t>ID on Artificial Intelligence (AI)/Machine Learning (ML) for NR Air Interface was approved [</w:t>
      </w:r>
      <w:r>
        <w:rPr>
          <w:rFonts w:hint="eastAsia" w:ascii="Times New Roman" w:hAnsi="Times New Roman"/>
          <w:sz w:val="20"/>
          <w:szCs w:val="20"/>
          <w:lang w:val="en-US" w:eastAsia="zh-CN"/>
        </w:rPr>
        <w:t>2</w:t>
      </w:r>
      <w:r>
        <w:rPr>
          <w:rFonts w:ascii="Times New Roman" w:hAnsi="Times New Roman"/>
          <w:sz w:val="20"/>
          <w:szCs w:val="20"/>
        </w:rPr>
        <w:t>].</w:t>
      </w:r>
      <w:r>
        <w:rPr>
          <w:rFonts w:hint="eastAsia" w:ascii="Times New Roman" w:hAnsi="Times New Roman"/>
          <w:sz w:val="20"/>
          <w:szCs w:val="20"/>
          <w:lang w:val="en-US" w:eastAsia="zh-CN"/>
        </w:rPr>
        <w:t xml:space="preserve"> </w:t>
      </w:r>
      <w:r>
        <w:rPr>
          <w:rFonts w:ascii="Times New Roman" w:hAnsi="Times New Roman"/>
          <w:sz w:val="20"/>
          <w:szCs w:val="20"/>
        </w:rPr>
        <w:t>The objectives for RAN4 are duplicated as following.</w:t>
      </w:r>
    </w:p>
    <w:tbl>
      <w:tblPr>
        <w:tblStyle w:val="8"/>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67741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930" w:type="dxa"/>
            <w:noWrap w:val="0"/>
            <w:vAlign w:val="top"/>
          </w:tcPr>
          <w:p w14:paraId="56C0ACA8">
            <w:pPr>
              <w:numPr>
                <w:ilvl w:val="0"/>
                <w:numId w:val="5"/>
              </w:numPr>
              <w:spacing w:after="0"/>
              <w:rPr>
                <w:rFonts w:hint="default" w:ascii="Times New Roman" w:hAnsi="Times New Roman" w:cs="Times New Roman"/>
                <w:bCs/>
                <w:sz w:val="20"/>
                <w:szCs w:val="20"/>
              </w:rPr>
            </w:pPr>
            <w:r>
              <w:rPr>
                <w:rFonts w:hint="default" w:ascii="Times New Roman" w:hAnsi="Times New Roman" w:eastAsia="Batang" w:cs="Times New Roman"/>
                <w:sz w:val="20"/>
                <w:szCs w:val="20"/>
              </w:rPr>
              <w:t xml:space="preserve">Core requirements for </w:t>
            </w:r>
            <w:r>
              <w:rPr>
                <w:rFonts w:hint="default" w:ascii="Times New Roman" w:hAnsi="Times New Roman" w:cs="Times New Roman"/>
                <w:bCs/>
                <w:sz w:val="20"/>
                <w:szCs w:val="20"/>
              </w:rPr>
              <w:t xml:space="preserve">the above two use cases for AI/ML </w:t>
            </w:r>
            <w:r>
              <w:rPr>
                <w:rFonts w:hint="default" w:ascii="Times New Roman" w:hAnsi="Times New Roman" w:eastAsia="Batang" w:cs="Times New Roman"/>
                <w:sz w:val="20"/>
                <w:szCs w:val="20"/>
              </w:rPr>
              <w:t>LCM procedures and UE features [RAN4]:</w:t>
            </w:r>
          </w:p>
          <w:p w14:paraId="59DE7CF8">
            <w:pPr>
              <w:numPr>
                <w:ilvl w:val="1"/>
                <w:numId w:val="5"/>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necessary RAN4 core requirements for the above three use cases. This includes the test setup and methodology for the beam management use case.</w:t>
            </w:r>
          </w:p>
          <w:p w14:paraId="7BB01FF1">
            <w:pPr>
              <w:numPr>
                <w:ilvl w:val="1"/>
                <w:numId w:val="5"/>
              </w:numPr>
              <w:spacing w:after="0"/>
              <w:rPr>
                <w:rFonts w:hint="default" w:ascii="Times New Roman" w:hAnsi="Times New Roman" w:cs="Times New Roman"/>
                <w:bCs/>
                <w:sz w:val="20"/>
                <w:szCs w:val="20"/>
              </w:rPr>
            </w:pPr>
            <w:r>
              <w:rPr>
                <w:rFonts w:hint="default" w:ascii="Times New Roman" w:hAnsi="Times New Roman" w:eastAsia="Batang" w:cs="Times New Roman"/>
                <w:sz w:val="20"/>
                <w:szCs w:val="20"/>
              </w:rPr>
              <w:t>Specify necessary RAN4 core requirements for LCM procedures including performance monitoring.</w:t>
            </w:r>
          </w:p>
          <w:p w14:paraId="6A1BC8F5">
            <w:pPr>
              <w:numPr>
                <w:ilvl w:val="0"/>
                <w:numId w:val="0"/>
              </w:numPr>
              <w:overflowPunct/>
              <w:autoSpaceDE/>
              <w:autoSpaceDN/>
              <w:adjustRightInd/>
              <w:spacing w:after="0" w:line="259" w:lineRule="auto"/>
              <w:contextualSpacing/>
              <w:textAlignment w:val="auto"/>
              <w:rPr>
                <w:rFonts w:hint="default" w:ascii="Times New Roman" w:hAnsi="Times New Roman" w:cs="Times New Roman"/>
                <w:bCs/>
                <w:sz w:val="20"/>
                <w:szCs w:val="20"/>
              </w:rPr>
            </w:pPr>
          </w:p>
        </w:tc>
      </w:tr>
    </w:tbl>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discussion on Artificial Intelligence (AI)/Machine Learning (ML) for NR Air Interface, and a WF was approved [3]. </w:t>
      </w:r>
      <w:r>
        <w:rPr>
          <w:rFonts w:ascii="Times New Roman" w:hAnsi="Times New Roman"/>
          <w:sz w:val="20"/>
          <w:szCs w:val="20"/>
        </w:rPr>
        <w:t>T</w:t>
      </w:r>
      <w:r>
        <w:rPr>
          <w:rFonts w:hint="eastAsia" w:ascii="Times New Roman" w:hAnsi="Times New Roman"/>
          <w:sz w:val="20"/>
          <w:szCs w:val="20"/>
        </w:rPr>
        <w:t>his contribution provides discussion on general aspects.</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B0B3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B0AFB94">
            <w:pPr>
              <w:rPr>
                <w:rFonts w:hint="default" w:ascii="Times New Roman" w:hAnsi="Times New Roman" w:cs="Times New Roman"/>
                <w:b/>
                <w:bCs/>
                <w:sz w:val="20"/>
                <w:szCs w:val="20"/>
              </w:rPr>
            </w:pPr>
            <w:r>
              <w:rPr>
                <w:rFonts w:hint="default" w:ascii="Times New Roman" w:hAnsi="Times New Roman" w:cs="Times New Roman"/>
                <w:b/>
                <w:bCs/>
                <w:sz w:val="20"/>
                <w:szCs w:val="20"/>
              </w:rPr>
              <w:t>LCM requirements</w:t>
            </w:r>
          </w:p>
          <w:p w14:paraId="76E9F54F">
            <w:pPr>
              <w:rPr>
                <w:rFonts w:hint="default" w:ascii="Times New Roman" w:hAnsi="Times New Roman" w:cs="Times New Roman"/>
                <w:sz w:val="20"/>
                <w:szCs w:val="20"/>
              </w:rPr>
            </w:pPr>
          </w:p>
          <w:p w14:paraId="74140C72">
            <w:pPr>
              <w:spacing w:after="120" w:afterLines="50"/>
              <w:rPr>
                <w:rFonts w:hint="default" w:ascii="Times New Roman" w:hAnsi="Times New Roman" w:cs="Times New Roman"/>
                <w:sz w:val="20"/>
                <w:szCs w:val="20"/>
                <w:lang w:eastAsia="zh-CN"/>
              </w:rPr>
            </w:pPr>
            <w:r>
              <w:rPr>
                <w:rFonts w:hint="default" w:ascii="Times New Roman" w:hAnsi="Times New Roman" w:cs="Times New Roman"/>
                <w:b/>
                <w:sz w:val="20"/>
                <w:szCs w:val="20"/>
                <w:lang w:eastAsia="zh-CN"/>
              </w:rPr>
              <w:t>Agreements:</w:t>
            </w:r>
          </w:p>
          <w:p w14:paraId="6AA6A43E">
            <w:pPr>
              <w:pStyle w:val="14"/>
              <w:ind w:left="0" w:firstLine="0"/>
              <w:rPr>
                <w:rFonts w:hint="default" w:ascii="Times New Roman" w:hAnsi="Times New Roman" w:cs="Times New Roman"/>
                <w:sz w:val="20"/>
                <w:szCs w:val="20"/>
                <w:u w:val="single"/>
                <w:lang w:eastAsia="zh-CN"/>
              </w:rPr>
            </w:pPr>
            <w:r>
              <w:rPr>
                <w:rFonts w:hint="default" w:ascii="Times New Roman" w:hAnsi="Times New Roman" w:cs="Times New Roman"/>
                <w:sz w:val="20"/>
                <w:szCs w:val="20"/>
                <w:u w:val="single"/>
                <w:lang w:eastAsia="zh-CN"/>
              </w:rPr>
              <w:t>Activation delay:</w:t>
            </w:r>
          </w:p>
          <w:p w14:paraId="421BD3CA">
            <w:pPr>
              <w:pStyle w:val="14"/>
              <w:numPr>
                <w:ilvl w:val="0"/>
                <w:numId w:val="6"/>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Activation delay requirements created for the periodic, semi-persistent and aperiodic CSI reporting for beam prediction </w:t>
            </w:r>
          </w:p>
          <w:p w14:paraId="4098BA89">
            <w:pPr>
              <w:pStyle w:val="14"/>
              <w:numPr>
                <w:ilvl w:val="1"/>
                <w:numId w:val="6"/>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It is FFS for CSI prediction</w:t>
            </w:r>
          </w:p>
          <w:p w14:paraId="26BEBDB0">
            <w:pPr>
              <w:pStyle w:val="14"/>
              <w:numPr>
                <w:ilvl w:val="0"/>
                <w:numId w:val="6"/>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For Option A, RAN4 will send LS to RAN2 to clarify the related mechanism. </w:t>
            </w:r>
          </w:p>
          <w:p w14:paraId="7E7FC314">
            <w:pPr>
              <w:pStyle w:val="14"/>
              <w:numPr>
                <w:ilvl w:val="0"/>
                <w:numId w:val="6"/>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semi-persistent CSI reporting</w:t>
            </w:r>
          </w:p>
          <w:p w14:paraId="066BD4AC">
            <w:pPr>
              <w:pStyle w:val="14"/>
              <w:numPr>
                <w:ilvl w:val="1"/>
                <w:numId w:val="6"/>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Activation delay starts at the reception of the MAC-CE/DCI</w:t>
            </w:r>
          </w:p>
          <w:p w14:paraId="71CA8E71">
            <w:pPr>
              <w:pStyle w:val="14"/>
              <w:numPr>
                <w:ilvl w:val="0"/>
                <w:numId w:val="6"/>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aperiodic CSI reporting</w:t>
            </w:r>
          </w:p>
          <w:p w14:paraId="02C77B97">
            <w:pPr>
              <w:pStyle w:val="14"/>
              <w:numPr>
                <w:ilvl w:val="1"/>
                <w:numId w:val="6"/>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Activation delay starts at the reception of the DCI</w:t>
            </w:r>
          </w:p>
          <w:p w14:paraId="1205A496">
            <w:pPr>
              <w:pStyle w:val="14"/>
              <w:ind w:left="0" w:firstLine="0"/>
              <w:rPr>
                <w:rFonts w:hint="default" w:ascii="Times New Roman" w:hAnsi="Times New Roman" w:cs="Times New Roman"/>
                <w:sz w:val="20"/>
                <w:szCs w:val="20"/>
                <w:lang w:eastAsia="zh-CN"/>
              </w:rPr>
            </w:pPr>
          </w:p>
          <w:p w14:paraId="7E1CB1D0">
            <w:pPr>
              <w:pStyle w:val="14"/>
              <w:ind w:left="0" w:firstLine="0"/>
              <w:rPr>
                <w:rFonts w:hint="default" w:ascii="Times New Roman" w:hAnsi="Times New Roman" w:cs="Times New Roman"/>
                <w:sz w:val="20"/>
                <w:szCs w:val="20"/>
                <w:u w:val="single"/>
                <w:lang w:eastAsia="zh-CN"/>
              </w:rPr>
            </w:pPr>
            <w:r>
              <w:rPr>
                <w:rFonts w:hint="default" w:ascii="Times New Roman" w:hAnsi="Times New Roman" w:cs="Times New Roman"/>
                <w:sz w:val="20"/>
                <w:szCs w:val="20"/>
                <w:u w:val="single"/>
                <w:lang w:eastAsia="zh-CN"/>
              </w:rPr>
              <w:t>Switching delay and Fallback delay:</w:t>
            </w:r>
          </w:p>
          <w:p w14:paraId="43311E08">
            <w:pPr>
              <w:pStyle w:val="14"/>
              <w:numPr>
                <w:ilvl w:val="0"/>
                <w:numId w:val="6"/>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Deprioritize the discussion on switching and fallback delay requirements and focus on activation/deactivation delay requirement, including both AI/nonAI, discussion. </w:t>
            </w:r>
          </w:p>
          <w:p w14:paraId="56FB9D9C">
            <w:pPr>
              <w:pStyle w:val="14"/>
              <w:rPr>
                <w:rFonts w:hint="default" w:ascii="Times New Roman" w:hAnsi="Times New Roman" w:cs="Times New Roman"/>
                <w:sz w:val="20"/>
                <w:szCs w:val="20"/>
                <w:lang w:eastAsia="zh-CN"/>
              </w:rPr>
            </w:pPr>
          </w:p>
          <w:p w14:paraId="3E47D286">
            <w:pPr>
              <w:pStyle w:val="14"/>
              <w:ind w:left="0" w:firstLine="0"/>
              <w:rPr>
                <w:rFonts w:hint="default" w:ascii="Times New Roman" w:hAnsi="Times New Roman" w:cs="Times New Roman"/>
                <w:sz w:val="20"/>
                <w:szCs w:val="20"/>
                <w:u w:val="single"/>
                <w:lang w:eastAsia="zh-CN"/>
              </w:rPr>
            </w:pPr>
            <w:r>
              <w:rPr>
                <w:rFonts w:hint="default" w:ascii="Times New Roman" w:hAnsi="Times New Roman" w:cs="Times New Roman"/>
                <w:sz w:val="20"/>
                <w:szCs w:val="20"/>
                <w:u w:val="single"/>
                <w:lang w:eastAsia="zh-CN"/>
              </w:rPr>
              <w:t>Monitoring reporting delay and accuracy:</w:t>
            </w:r>
          </w:p>
          <w:p w14:paraId="6B6F1481">
            <w:pPr>
              <w:pStyle w:val="14"/>
              <w:ind w:left="284"/>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Discuss how to define delay and accuracy requirements for UE sided monitoring where the UE reports the metric:</w:t>
            </w:r>
          </w:p>
          <w:p w14:paraId="1F727A33">
            <w:pPr>
              <w:pStyle w:val="14"/>
              <w:numPr>
                <w:ilvl w:val="0"/>
                <w:numId w:val="7"/>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BM-Case1 and possibly BM-Case 2</w:t>
            </w:r>
          </w:p>
          <w:p w14:paraId="05C6A835">
            <w:pPr>
              <w:pStyle w:val="14"/>
              <w:ind w:left="852"/>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Performance monitoring type 1 option 2</w:t>
            </w:r>
          </w:p>
          <w:p w14:paraId="312FBD24">
            <w:pPr>
              <w:pStyle w:val="14"/>
              <w:numPr>
                <w:ilvl w:val="0"/>
                <w:numId w:val="7"/>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If it proves to be not possible to define, then reverse the agreement</w:t>
            </w:r>
          </w:p>
          <w:p w14:paraId="0F77D749">
            <w:pPr>
              <w:pStyle w:val="14"/>
              <w:numPr>
                <w:ilvl w:val="0"/>
                <w:numId w:val="7"/>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Note: For BM-Case2, it may not be completed in Rel-19. If it is not covered in Rel-19, there would not be a monitoring delay requirement. If it would be in Rel-19, a monitoring delay requirement is needed.</w:t>
            </w:r>
          </w:p>
          <w:p w14:paraId="038AD0C2">
            <w:pPr>
              <w:pStyle w:val="14"/>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 </w:t>
            </w:r>
          </w:p>
          <w:p w14:paraId="7F774FA8">
            <w:pPr>
              <w:pStyle w:val="14"/>
              <w:ind w:left="0" w:firstLine="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CSI prediction:</w:t>
            </w:r>
          </w:p>
          <w:p w14:paraId="33167AC0">
            <w:pPr>
              <w:pStyle w:val="14"/>
              <w:numPr>
                <w:ilvl w:val="0"/>
                <w:numId w:val="8"/>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CSI prediction, the details are subject to RAN1 decision</w:t>
            </w:r>
          </w:p>
          <w:p w14:paraId="269F6134">
            <w:pPr>
              <w:pStyle w:val="14"/>
              <w:numPr>
                <w:ilvl w:val="0"/>
                <w:numId w:val="9"/>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RAN4 will further study the feasibility to specify the corresponding delay and/or accuracy requirements for UE sided monitoring</w:t>
            </w:r>
          </w:p>
          <w:p w14:paraId="7BA1973A">
            <w:pPr>
              <w:pStyle w:val="14"/>
              <w:ind w:left="0" w:firstLine="0"/>
              <w:rPr>
                <w:rFonts w:hint="default" w:ascii="Times New Roman" w:hAnsi="Times New Roman" w:cs="Times New Roman"/>
                <w:sz w:val="20"/>
                <w:szCs w:val="20"/>
                <w:lang w:eastAsia="zh-CN"/>
              </w:rPr>
            </w:pPr>
          </w:p>
          <w:p w14:paraId="0AD72F1E">
            <w:pPr>
              <w:pStyle w:val="14"/>
              <w:ind w:left="0" w:firstLine="0"/>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Way forward (not agreements)</w:t>
            </w:r>
          </w:p>
          <w:p w14:paraId="1E416680">
            <w:pPr>
              <w:pStyle w:val="14"/>
              <w:ind w:left="0" w:firstLine="0"/>
              <w:rPr>
                <w:rFonts w:hint="default" w:ascii="Times New Roman" w:hAnsi="Times New Roman" w:cs="Times New Roman"/>
                <w:sz w:val="20"/>
                <w:szCs w:val="20"/>
                <w:u w:val="single"/>
                <w:lang w:eastAsia="zh-CN"/>
              </w:rPr>
            </w:pPr>
            <w:r>
              <w:rPr>
                <w:rFonts w:hint="default" w:ascii="Times New Roman" w:hAnsi="Times New Roman" w:cs="Times New Roman"/>
                <w:sz w:val="20"/>
                <w:szCs w:val="20"/>
                <w:u w:val="single"/>
                <w:lang w:eastAsia="zh-CN"/>
              </w:rPr>
              <w:t>Deactivation delay for CSI prediction:</w:t>
            </w:r>
          </w:p>
          <w:p w14:paraId="38CC6738">
            <w:pPr>
              <w:pStyle w:val="11"/>
              <w:numPr>
                <w:ilvl w:val="0"/>
                <w:numId w:val="10"/>
              </w:numPr>
              <w:spacing w:after="120"/>
              <w:ind w:firstLineChars="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following questions were noted for further discussion</w:t>
            </w:r>
          </w:p>
          <w:p w14:paraId="08D9EAE2">
            <w:pPr>
              <w:pStyle w:val="11"/>
              <w:numPr>
                <w:ilvl w:val="1"/>
                <w:numId w:val="10"/>
              </w:numPr>
              <w:spacing w:after="120"/>
              <w:ind w:firstLineChars="0"/>
              <w:textAlignment w:val="auto"/>
              <w:rPr>
                <w:rFonts w:hint="eastAsia" w:ascii="Times New Roman" w:hAnsi="Times New Roman" w:eastAsia="等线"/>
                <w:bCs/>
                <w:iCs/>
                <w:sz w:val="20"/>
                <w:szCs w:val="20"/>
                <w:vertAlign w:val="baseline"/>
                <w:lang w:val="en-US" w:eastAsia="zh-CN"/>
              </w:rPr>
            </w:pPr>
            <w:r>
              <w:rPr>
                <w:rFonts w:hint="default" w:ascii="Times New Roman" w:hAnsi="Times New Roman" w:cs="Times New Roman"/>
                <w:sz w:val="20"/>
                <w:szCs w:val="20"/>
                <w:lang w:eastAsia="zh-CN"/>
              </w:rPr>
              <w:t>Can NW differentiate between the predicted CSI reporting and the measured CSI reporting?</w:t>
            </w:r>
          </w:p>
          <w:p w14:paraId="7C14BDB4">
            <w:pPr>
              <w:pStyle w:val="11"/>
              <w:numPr>
                <w:ilvl w:val="1"/>
                <w:numId w:val="10"/>
              </w:numPr>
              <w:spacing w:after="120"/>
              <w:ind w:firstLineChars="0"/>
              <w:textAlignment w:val="auto"/>
              <w:rPr>
                <w:rFonts w:hint="eastAsia" w:ascii="Times New Roman" w:hAnsi="Times New Roman" w:eastAsia="等线"/>
                <w:bCs/>
                <w:iCs/>
                <w:sz w:val="20"/>
                <w:szCs w:val="20"/>
                <w:vertAlign w:val="baseline"/>
                <w:lang w:val="en-US" w:eastAsia="zh-CN"/>
              </w:rPr>
            </w:pPr>
            <w:r>
              <w:rPr>
                <w:rFonts w:hint="default" w:ascii="Times New Roman" w:hAnsi="Times New Roman" w:cs="Times New Roman"/>
                <w:sz w:val="20"/>
                <w:szCs w:val="20"/>
                <w:lang w:eastAsia="zh-CN"/>
              </w:rPr>
              <w:t>In case of switch between AI, is there existing reporting to differentiate the reports before and after the deactivation</w:t>
            </w:r>
          </w:p>
        </w:tc>
      </w:tr>
    </w:tbl>
    <w:p w14:paraId="7EDE4F62">
      <w:pPr>
        <w:spacing w:after="180" w:line="240" w:lineRule="exact"/>
        <w:rPr>
          <w:rFonts w:hint="eastAsia" w:ascii="Times New Roman" w:hAnsi="Times New Roman" w:eastAsia="等线"/>
          <w:bCs/>
          <w:iCs/>
          <w:sz w:val="20"/>
          <w:szCs w:val="20"/>
          <w:lang w:val="en-US" w:eastAsia="zh-CN"/>
        </w:rPr>
      </w:pPr>
    </w:p>
    <w:p w14:paraId="078A6ECB">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It was agreed that activation delay requirements are defined for periodic, semi-persistent and aperiodic CSI reporting for beam prediction. For periodic, especially option A , since companies have different views on the related machanism, LS was sent to RAN2 for clarification in last meeting. RAN4 can further discuss the activation delay for periodic CSI reporting after receiving RAN2 reply LS.</w:t>
      </w:r>
    </w:p>
    <w:p w14:paraId="3777E26F">
      <w:pPr>
        <w:spacing w:after="180" w:line="240" w:lineRule="exact"/>
        <w:rPr>
          <w:rFonts w:hint="default" w:ascii="Times New Roman" w:hAnsi="Times New Roman" w:cs="Times New Roman"/>
          <w:b w:val="0"/>
          <w:bCs/>
          <w:sz w:val="20"/>
          <w:szCs w:val="20"/>
          <w:lang w:val="en-US" w:eastAsia="zh-CN"/>
        </w:rPr>
      </w:pPr>
      <w:r>
        <w:rPr>
          <w:rFonts w:hint="eastAsia" w:ascii="Times New Roman" w:hAnsi="Times New Roman" w:eastAsia="等线"/>
          <w:bCs/>
          <w:iCs/>
          <w:sz w:val="20"/>
          <w:szCs w:val="20"/>
          <w:lang w:val="en-US" w:eastAsia="zh-CN"/>
        </w:rPr>
        <w:t>For semi-persistent CSI reporting, activation delay starts at the reception of the MAC-CE/DCI. And the starting point of activation delay for apriodic CSI reporting is the reception of the DCI. In order to define the activation delay, both starting point and ending point are necessary. According to RAN1 design, NW can differentiate between the predicted beam reporting and the measured beam reporting. Based on this, f</w:t>
      </w:r>
      <w:r>
        <w:rPr>
          <w:rFonts w:hint="eastAsia" w:ascii="Times New Roman" w:hAnsi="Times New Roman" w:cs="Times New Roman"/>
          <w:b w:val="0"/>
          <w:bCs/>
          <w:sz w:val="20"/>
          <w:szCs w:val="20"/>
          <w:lang w:val="en-US" w:eastAsia="zh-CN"/>
        </w:rPr>
        <w:t xml:space="preserve">or both </w:t>
      </w:r>
      <w:r>
        <w:rPr>
          <w:rFonts w:hint="eastAsia" w:ascii="Times New Roman" w:hAnsi="Times New Roman" w:eastAsia="等线"/>
          <w:bCs/>
          <w:iCs/>
          <w:sz w:val="20"/>
          <w:szCs w:val="20"/>
          <w:lang w:val="en-US" w:eastAsia="zh-CN"/>
        </w:rPr>
        <w:t>semi-persistent CSI reporting and aperiodic CSI reporting</w:t>
      </w:r>
      <w:r>
        <w:rPr>
          <w:rFonts w:hint="eastAsia" w:ascii="Times New Roman" w:hAnsi="Times New Roman" w:cs="Times New Roman"/>
          <w:b w:val="0"/>
          <w:bCs/>
          <w:sz w:val="20"/>
          <w:szCs w:val="20"/>
          <w:lang w:val="en-US" w:eastAsia="zh-CN"/>
        </w:rPr>
        <w:t>,</w:t>
      </w:r>
      <w:r>
        <w:rPr>
          <w:rFonts w:hint="eastAsia" w:ascii="Times New Roman" w:hAnsi="Times New Roman" w:eastAsia="等线" w:cs="Times New Roman"/>
          <w:bCs/>
          <w:iCs/>
          <w:sz w:val="20"/>
          <w:szCs w:val="20"/>
          <w:vertAlign w:val="baseline"/>
          <w:lang w:val="en-US" w:eastAsia="zh-CN"/>
        </w:rPr>
        <w:t xml:space="preserve"> the ending point of activation delay could be sending the report of inference results.</w:t>
      </w:r>
    </w:p>
    <w:p w14:paraId="66F153A0">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for beam prediciton, </w:t>
      </w:r>
      <w:r>
        <w:rPr>
          <w:rFonts w:hint="eastAsia" w:ascii="Times New Roman" w:hAnsi="Times New Roman" w:cs="Times New Roman"/>
          <w:b/>
          <w:bCs w:val="0"/>
          <w:i/>
          <w:iCs w:val="0"/>
          <w:sz w:val="20"/>
          <w:szCs w:val="20"/>
          <w:lang w:val="en-US" w:eastAsia="zh-CN"/>
        </w:rPr>
        <w:t xml:space="preserve">for both </w:t>
      </w:r>
      <w:r>
        <w:rPr>
          <w:rFonts w:hint="eastAsia" w:ascii="Times New Roman" w:hAnsi="Times New Roman" w:eastAsia="等线"/>
          <w:b/>
          <w:bCs w:val="0"/>
          <w:i/>
          <w:iCs w:val="0"/>
          <w:sz w:val="20"/>
          <w:szCs w:val="20"/>
          <w:lang w:val="en-US" w:eastAsia="zh-CN"/>
        </w:rPr>
        <w:t>semi-persistent CSI reporting and aperiodic CSI reporting</w:t>
      </w:r>
      <w:r>
        <w:rPr>
          <w:rFonts w:hint="eastAsia" w:ascii="Times New Roman" w:hAnsi="Times New Roman" w:cs="Times New Roman"/>
          <w:b/>
          <w:bCs w:val="0"/>
          <w:i/>
          <w:iCs w:val="0"/>
          <w:sz w:val="20"/>
          <w:szCs w:val="20"/>
          <w:lang w:val="en-US" w:eastAsia="zh-CN"/>
        </w:rPr>
        <w:t>,</w:t>
      </w:r>
      <w:r>
        <w:rPr>
          <w:rFonts w:hint="eastAsia" w:ascii="Times New Roman" w:hAnsi="Times New Roman" w:eastAsia="等线" w:cs="Times New Roman"/>
          <w:b/>
          <w:bCs w:val="0"/>
          <w:i/>
          <w:iCs w:val="0"/>
          <w:sz w:val="20"/>
          <w:szCs w:val="20"/>
          <w:vertAlign w:val="baseline"/>
          <w:lang w:val="en-US" w:eastAsia="zh-CN"/>
        </w:rPr>
        <w:t xml:space="preserve"> it is proposed that the ending point of activation delay is sending the inference report.</w:t>
      </w:r>
      <w:r>
        <w:rPr>
          <w:rFonts w:hint="eastAsia" w:ascii="Times New Roman" w:hAnsi="Times New Roman" w:eastAsia="等线"/>
          <w:b/>
          <w:bCs w:val="0"/>
          <w:i/>
          <w:iCs w:val="0"/>
          <w:sz w:val="20"/>
          <w:szCs w:val="20"/>
          <w:lang w:val="en-US" w:eastAsia="zh-CN"/>
        </w:rPr>
        <w:t xml:space="preserve">   </w:t>
      </w:r>
    </w:p>
    <w:p w14:paraId="7357077D">
      <w:pPr>
        <w:spacing w:after="180" w:line="240" w:lineRule="exact"/>
        <w:rPr>
          <w:rFonts w:hint="eastAsia" w:ascii="Times New Roman" w:hAnsi="Times New Roman" w:cs="Times New Roman"/>
          <w:sz w:val="20"/>
          <w:szCs w:val="20"/>
          <w:lang w:val="en-US" w:eastAsia="zh-CN"/>
        </w:rPr>
      </w:pPr>
      <w:r>
        <w:rPr>
          <w:rFonts w:hint="eastAsia" w:ascii="Times New Roman" w:hAnsi="Times New Roman" w:eastAsia="等线"/>
          <w:bCs/>
          <w:iCs/>
          <w:sz w:val="20"/>
          <w:szCs w:val="20"/>
          <w:lang w:val="en-US" w:eastAsia="zh-CN"/>
        </w:rPr>
        <w:t xml:space="preserve">We will further discuss the components of funtionality activation delay. For the case that the reporting is triggered by MAC CE, funtionality activation delay comprise HARQ feedback, measurement and inference. Normally, HARQ related delay is </w:t>
      </w:r>
      <w:r>
        <w:rPr>
          <w:rFonts w:hint="default" w:ascii="Times New Roman" w:hAnsi="Times New Roman" w:eastAsia="Malgun Gothic" w:cs="Times New Roman"/>
          <w:sz w:val="20"/>
          <w:szCs w:val="20"/>
          <w:lang w:eastAsia="en-GB"/>
        </w:rPr>
        <w:t>T</w:t>
      </w:r>
      <w:r>
        <w:rPr>
          <w:rFonts w:hint="default" w:ascii="Times New Roman" w:hAnsi="Times New Roman" w:eastAsia="Malgun Gothic" w:cs="Times New Roman"/>
          <w:sz w:val="20"/>
          <w:szCs w:val="20"/>
          <w:vertAlign w:val="subscript"/>
          <w:lang w:eastAsia="en-GB"/>
        </w:rPr>
        <w:t xml:space="preserve">HARQ </w:t>
      </w:r>
      <w:r>
        <w:rPr>
          <w:rFonts w:hint="default" w:ascii="Times New Roman" w:hAnsi="Times New Roman" w:eastAsia="Malgun Gothic" w:cs="Times New Roman"/>
          <w:sz w:val="20"/>
          <w:szCs w:val="20"/>
          <w:lang w:eastAsia="en-GB"/>
        </w:rPr>
        <w:t>+ 3ms, where T</w:t>
      </w:r>
      <w:r>
        <w:rPr>
          <w:rFonts w:hint="default" w:ascii="Times New Roman" w:hAnsi="Times New Roman" w:eastAsia="Malgun Gothic" w:cs="Times New Roman"/>
          <w:sz w:val="20"/>
          <w:szCs w:val="20"/>
          <w:vertAlign w:val="subscript"/>
          <w:lang w:eastAsia="en-GB"/>
        </w:rPr>
        <w:t>HARQ</w:t>
      </w:r>
      <w:r>
        <w:rPr>
          <w:rFonts w:hint="default" w:ascii="Times New Roman" w:hAnsi="Times New Roman" w:eastAsia="Malgun Gothic" w:cs="Times New Roman"/>
          <w:sz w:val="20"/>
          <w:szCs w:val="20"/>
          <w:lang w:eastAsia="en-GB"/>
        </w:rPr>
        <w:t xml:space="preserve"> is the timing between </w:t>
      </w:r>
      <w:r>
        <w:rPr>
          <w:rFonts w:hint="eastAsia" w:ascii="Times New Roman" w:hAnsi="Times New Roman" w:eastAsia="宋体" w:cs="Times New Roman"/>
          <w:sz w:val="20"/>
          <w:szCs w:val="20"/>
          <w:lang w:val="en-US" w:eastAsia="zh-CN"/>
        </w:rPr>
        <w:t>activation</w:t>
      </w:r>
      <w:r>
        <w:rPr>
          <w:rFonts w:hint="default" w:ascii="Times New Roman" w:hAnsi="Times New Roman" w:eastAsia="Malgun Gothic" w:cs="Times New Roman"/>
          <w:sz w:val="20"/>
          <w:szCs w:val="20"/>
          <w:lang w:eastAsia="en-GB"/>
        </w:rPr>
        <w:t xml:space="preserve"> command and acknowledgement</w:t>
      </w:r>
      <w:r>
        <w:rPr>
          <w:rFonts w:hint="eastAsia" w:ascii="Times New Roman" w:hAnsi="Times New Roman" w:eastAsia="宋体" w:cs="Times New Roman"/>
          <w:sz w:val="20"/>
          <w:szCs w:val="20"/>
          <w:lang w:val="en-US" w:eastAsia="zh-CN"/>
        </w:rPr>
        <w:t xml:space="preserve">.For </w:t>
      </w:r>
      <w:r>
        <w:rPr>
          <w:rFonts w:hint="eastAsia" w:ascii="Times New Roman" w:hAnsi="Times New Roman" w:eastAsia="等线"/>
          <w:bCs/>
          <w:iCs/>
          <w:sz w:val="20"/>
          <w:szCs w:val="20"/>
          <w:lang w:val="en-US" w:eastAsia="zh-CN"/>
        </w:rPr>
        <w:t xml:space="preserve">measurement and inference, the main contributor is </w:t>
      </w:r>
      <w:r>
        <w:rPr>
          <w:rFonts w:hint="eastAsia" w:ascii="Times New Roman" w:hAnsi="Times New Roman" w:eastAsia="宋体" w:cs="Times New Roman"/>
          <w:sz w:val="20"/>
          <w:szCs w:val="20"/>
          <w:lang w:val="en-US" w:eastAsia="zh-CN"/>
        </w:rPr>
        <w:t>the time used to measure Set B, which can be considered as measurement period for inference. In last meeting, for measurement period for inference</w:t>
      </w:r>
      <w:r>
        <w:rPr>
          <w:rFonts w:hint="eastAsia" w:ascii="Times New Roman" w:hAnsi="Times New Roman" w:cs="Times New Roman"/>
          <w:sz w:val="20"/>
          <w:szCs w:val="20"/>
          <w:lang w:val="en-US" w:eastAsia="zh-CN"/>
        </w:rPr>
        <w:t xml:space="preserve">, </w:t>
      </w:r>
      <w:r>
        <w:rPr>
          <w:rFonts w:hint="eastAsia" w:ascii="Times New Roman" w:hAnsi="Times New Roman" w:eastAsia="宋体" w:cs="Times New Roman"/>
          <w:sz w:val="20"/>
          <w:szCs w:val="20"/>
          <w:lang w:val="en-US" w:eastAsia="zh-CN"/>
        </w:rPr>
        <w:t xml:space="preserve">it was agreed that the starting point is to use </w:t>
      </w:r>
      <w:r>
        <w:rPr>
          <w:rFonts w:hint="default" w:ascii="Times New Roman" w:hAnsi="Times New Roman" w:eastAsia="Yu Mincho" w:cs="Times New Roman"/>
          <w:iCs/>
          <w:sz w:val="20"/>
          <w:szCs w:val="20"/>
          <w:lang w:eastAsia="ja-JP"/>
        </w:rPr>
        <w:t>M, N, P</w:t>
      </w:r>
      <w:r>
        <w:rPr>
          <w:rFonts w:hint="eastAsia" w:ascii="Times New Roman" w:hAnsi="Times New Roman" w:eastAsia="宋体" w:cs="Times New Roman"/>
          <w:iCs/>
          <w:sz w:val="20"/>
          <w:szCs w:val="20"/>
          <w:lang w:val="en-US" w:eastAsia="zh-CN"/>
        </w:rPr>
        <w:t xml:space="preserve"> for case 1, which means the legacy L1-RSRP measurement delaycan be used as baseline. In summary, for </w:t>
      </w:r>
      <w:r>
        <w:rPr>
          <w:rFonts w:hint="eastAsia" w:ascii="Times New Roman" w:hAnsi="Times New Roman" w:eastAsia="等线"/>
          <w:bCs/>
          <w:iCs/>
          <w:sz w:val="20"/>
          <w:szCs w:val="20"/>
          <w:lang w:val="en-US" w:eastAsia="zh-CN"/>
        </w:rPr>
        <w:t xml:space="preserve">the case that the reporting is triggered by MAC CE, the funtionality activation delay is </w:t>
      </w:r>
      <w:r>
        <w:rPr>
          <w:rFonts w:hint="default" w:ascii="Times New Roman" w:hAnsi="Times New Roman" w:eastAsia="Malgun Gothic" w:cs="Times New Roman"/>
          <w:sz w:val="20"/>
          <w:szCs w:val="20"/>
          <w:lang w:eastAsia="en-GB"/>
        </w:rPr>
        <w:t>T</w:t>
      </w:r>
      <w:r>
        <w:rPr>
          <w:rFonts w:hint="default" w:ascii="Times New Roman" w:hAnsi="Times New Roman" w:eastAsia="Malgun Gothic" w:cs="Times New Roman"/>
          <w:sz w:val="20"/>
          <w:szCs w:val="20"/>
          <w:vertAlign w:val="subscript"/>
          <w:lang w:eastAsia="en-GB"/>
        </w:rPr>
        <w:t xml:space="preserve">HARQ </w:t>
      </w:r>
      <w:r>
        <w:rPr>
          <w:rFonts w:hint="default" w:ascii="Times New Roman" w:hAnsi="Times New Roman" w:eastAsia="Malgun Gothic" w:cs="Times New Roman"/>
          <w:sz w:val="20"/>
          <w:szCs w:val="20"/>
          <w:lang w:eastAsia="en-GB"/>
        </w:rPr>
        <w:t>+ 3ms</w:t>
      </w:r>
      <w:r>
        <w:rPr>
          <w:rFonts w:hint="eastAsia" w:ascii="Times New Roman" w:hAnsi="Times New Roman" w:eastAsia="宋体" w:cs="Times New Roman"/>
          <w:sz w:val="20"/>
          <w:szCs w:val="20"/>
          <w:lang w:val="en-US" w:eastAsia="zh-CN"/>
        </w:rPr>
        <w:t xml:space="preserve"> +T</w:t>
      </w:r>
      <w:r>
        <w:rPr>
          <w:rFonts w:hint="eastAsia" w:ascii="Times New Roman" w:hAnsi="Times New Roman" w:eastAsia="宋体" w:cs="Times New Roman"/>
          <w:sz w:val="20"/>
          <w:szCs w:val="20"/>
          <w:vertAlign w:val="subscript"/>
          <w:lang w:val="en-US" w:eastAsia="zh-CN"/>
        </w:rPr>
        <w:t>measurement period for inference</w:t>
      </w:r>
      <w:r>
        <w:rPr>
          <w:rFonts w:hint="eastAsia" w:ascii="Times New Roman" w:hAnsi="Times New Roman" w:cs="Times New Roman"/>
          <w:sz w:val="20"/>
          <w:szCs w:val="20"/>
          <w:lang w:val="en-US" w:eastAsia="zh-CN"/>
        </w:rPr>
        <w:t xml:space="preserve">. Similarly, for the </w:t>
      </w:r>
      <w:r>
        <w:rPr>
          <w:rFonts w:hint="eastAsia" w:ascii="Times New Roman" w:hAnsi="Times New Roman" w:eastAsia="等线"/>
          <w:bCs/>
          <w:iCs/>
          <w:sz w:val="20"/>
          <w:szCs w:val="20"/>
          <w:lang w:val="en-US" w:eastAsia="zh-CN"/>
        </w:rPr>
        <w:t xml:space="preserve">case that the reporting is triggered by DCI, the funtionality activation delay is </w:t>
      </w:r>
      <w:r>
        <w:rPr>
          <w:rFonts w:hint="eastAsia" w:ascii="Times New Roman" w:hAnsi="Times New Roman" w:eastAsia="宋体" w:cs="Times New Roman"/>
          <w:sz w:val="20"/>
          <w:szCs w:val="20"/>
          <w:lang w:val="en-US" w:eastAsia="zh-CN"/>
        </w:rPr>
        <w:t>T</w:t>
      </w:r>
      <w:r>
        <w:rPr>
          <w:rFonts w:hint="eastAsia" w:ascii="Times New Roman" w:hAnsi="Times New Roman" w:eastAsia="宋体" w:cs="Times New Roman"/>
          <w:sz w:val="20"/>
          <w:szCs w:val="20"/>
          <w:vertAlign w:val="subscript"/>
          <w:lang w:val="en-US" w:eastAsia="zh-CN"/>
        </w:rPr>
        <w:t>measurement period for inference</w:t>
      </w:r>
      <w:r>
        <w:rPr>
          <w:rFonts w:hint="eastAsia" w:ascii="Times New Roman" w:hAnsi="Times New Roman" w:cs="Times New Roman"/>
          <w:sz w:val="20"/>
          <w:szCs w:val="20"/>
          <w:lang w:val="en-US" w:eastAsia="zh-CN"/>
        </w:rPr>
        <w:t xml:space="preserve">. </w:t>
      </w:r>
    </w:p>
    <w:p w14:paraId="14122840">
      <w:pPr>
        <w:spacing w:after="180" w:line="240" w:lineRule="exact"/>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2: for beam prediction, for the case that </w:t>
      </w:r>
      <w:r>
        <w:rPr>
          <w:rFonts w:hint="eastAsia" w:ascii="Times New Roman" w:hAnsi="Times New Roman" w:eastAsia="等线"/>
          <w:b/>
          <w:bCs/>
          <w:i/>
          <w:iCs/>
          <w:sz w:val="20"/>
          <w:szCs w:val="20"/>
          <w:lang w:val="en-US" w:eastAsia="zh-CN"/>
        </w:rPr>
        <w:t xml:space="preserve">the reporting is triggered by MAC CE, the funtionality activation delay is </w:t>
      </w:r>
      <w:r>
        <w:rPr>
          <w:rFonts w:hint="default" w:ascii="Times New Roman" w:hAnsi="Times New Roman" w:eastAsia="Malgun Gothic" w:cs="Times New Roman"/>
          <w:b/>
          <w:bCs/>
          <w:i/>
          <w:iCs/>
          <w:sz w:val="20"/>
          <w:szCs w:val="20"/>
          <w:lang w:eastAsia="en-GB"/>
        </w:rPr>
        <w:t>T</w:t>
      </w:r>
      <w:r>
        <w:rPr>
          <w:rFonts w:hint="default" w:ascii="Times New Roman" w:hAnsi="Times New Roman" w:eastAsia="Malgun Gothic" w:cs="Times New Roman"/>
          <w:b/>
          <w:bCs/>
          <w:i/>
          <w:iCs/>
          <w:sz w:val="20"/>
          <w:szCs w:val="20"/>
          <w:vertAlign w:val="subscript"/>
          <w:lang w:eastAsia="en-GB"/>
        </w:rPr>
        <w:t xml:space="preserve">HARQ </w:t>
      </w:r>
      <w:r>
        <w:rPr>
          <w:rFonts w:hint="default" w:ascii="Times New Roman" w:hAnsi="Times New Roman" w:eastAsia="Malgun Gothic" w:cs="Times New Roman"/>
          <w:b/>
          <w:bCs/>
          <w:i/>
          <w:iCs/>
          <w:sz w:val="20"/>
          <w:szCs w:val="20"/>
          <w:lang w:eastAsia="en-GB"/>
        </w:rPr>
        <w:t>+ 3ms</w:t>
      </w:r>
      <w:r>
        <w:rPr>
          <w:rFonts w:hint="eastAsia" w:ascii="Times New Roman" w:hAnsi="Times New Roman" w:eastAsia="宋体" w:cs="Times New Roman"/>
          <w:b/>
          <w:bCs/>
          <w:i/>
          <w:iCs/>
          <w:sz w:val="20"/>
          <w:szCs w:val="20"/>
          <w:lang w:val="en-US" w:eastAsia="zh-CN"/>
        </w:rPr>
        <w:t xml:space="preserve"> +T</w:t>
      </w:r>
      <w:r>
        <w:rPr>
          <w:rFonts w:hint="eastAsia" w:ascii="Times New Roman" w:hAnsi="Times New Roman" w:eastAsia="宋体" w:cs="Times New Roman"/>
          <w:b/>
          <w:bCs/>
          <w:i/>
          <w:iCs/>
          <w:sz w:val="20"/>
          <w:szCs w:val="20"/>
          <w:vertAlign w:val="subscript"/>
          <w:lang w:val="en-US" w:eastAsia="zh-CN"/>
        </w:rPr>
        <w:t>measurement period for inference</w:t>
      </w:r>
      <w:r>
        <w:rPr>
          <w:rFonts w:hint="eastAsia" w:ascii="Times New Roman" w:hAnsi="Times New Roman" w:cs="Times New Roman"/>
          <w:b/>
          <w:bCs/>
          <w:i/>
          <w:iCs/>
          <w:sz w:val="20"/>
          <w:szCs w:val="20"/>
          <w:lang w:val="en-US" w:eastAsia="zh-CN"/>
        </w:rPr>
        <w:t xml:space="preserve">. </w:t>
      </w:r>
    </w:p>
    <w:p w14:paraId="552F7A59">
      <w:pPr>
        <w:spacing w:after="180" w:line="240" w:lineRule="exact"/>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3: for beam prediction, for the case that </w:t>
      </w:r>
      <w:r>
        <w:rPr>
          <w:rFonts w:hint="eastAsia" w:ascii="Times New Roman" w:hAnsi="Times New Roman" w:eastAsia="等线"/>
          <w:b/>
          <w:bCs/>
          <w:i/>
          <w:iCs/>
          <w:sz w:val="20"/>
          <w:szCs w:val="20"/>
          <w:lang w:val="en-US" w:eastAsia="zh-CN"/>
        </w:rPr>
        <w:t xml:space="preserve">the reporting is triggered by DCI, the funtionality activation delay is </w:t>
      </w:r>
      <w:r>
        <w:rPr>
          <w:rFonts w:hint="eastAsia" w:ascii="Times New Roman" w:hAnsi="Times New Roman" w:eastAsia="宋体" w:cs="Times New Roman"/>
          <w:b/>
          <w:bCs/>
          <w:i/>
          <w:iCs/>
          <w:sz w:val="20"/>
          <w:szCs w:val="20"/>
          <w:lang w:val="en-US" w:eastAsia="zh-CN"/>
        </w:rPr>
        <w:t>T</w:t>
      </w:r>
      <w:r>
        <w:rPr>
          <w:rFonts w:hint="eastAsia" w:ascii="Times New Roman" w:hAnsi="Times New Roman" w:eastAsia="宋体" w:cs="Times New Roman"/>
          <w:b/>
          <w:bCs/>
          <w:i/>
          <w:iCs/>
          <w:sz w:val="20"/>
          <w:szCs w:val="20"/>
          <w:vertAlign w:val="subscript"/>
          <w:lang w:val="en-US" w:eastAsia="zh-CN"/>
        </w:rPr>
        <w:t>measurement period for inference</w:t>
      </w:r>
      <w:r>
        <w:rPr>
          <w:rFonts w:hint="eastAsia" w:ascii="Times New Roman" w:hAnsi="Times New Roman" w:cs="Times New Roman"/>
          <w:b/>
          <w:bCs/>
          <w:i/>
          <w:iCs/>
          <w:sz w:val="20"/>
          <w:szCs w:val="20"/>
          <w:lang w:val="en-US" w:eastAsia="zh-CN"/>
        </w:rPr>
        <w:t>.</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D2F4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728C779">
            <w:pPr>
              <w:spacing w:after="180" w:line="240" w:lineRule="exact"/>
              <w:rPr>
                <w:rFonts w:hint="default" w:ascii="Times New Roman" w:hAnsi="Times New Roman" w:eastAsia="等线" w:cs="Times New Roman"/>
                <w:sz w:val="20"/>
                <w:szCs w:val="20"/>
                <w:highlight w:val="green"/>
                <w:lang w:eastAsia="zh-CN"/>
              </w:rPr>
            </w:pPr>
            <w:r>
              <w:rPr>
                <w:rFonts w:hint="default" w:ascii="Times New Roman" w:hAnsi="Times New Roman" w:eastAsia="等线" w:cs="Times New Roman"/>
                <w:sz w:val="20"/>
                <w:szCs w:val="20"/>
                <w:highlight w:val="green"/>
                <w:lang w:eastAsia="zh-CN"/>
              </w:rPr>
              <w:t>Agreement</w:t>
            </w:r>
          </w:p>
          <w:p w14:paraId="3AABEFB8">
            <w:pPr>
              <w:rPr>
                <w:rFonts w:hint="default" w:ascii="Times New Roman" w:hAnsi="Times New Roman" w:eastAsia="Yu Mincho" w:cs="Times New Roman"/>
                <w:b/>
                <w:sz w:val="20"/>
                <w:szCs w:val="20"/>
                <w:u w:val="single"/>
                <w:lang w:eastAsia="ja-JP"/>
              </w:rPr>
            </w:pPr>
            <w:r>
              <w:rPr>
                <w:rFonts w:hint="default" w:ascii="Times New Roman" w:hAnsi="Times New Roman" w:cs="Times New Roman"/>
                <w:b/>
                <w:sz w:val="20"/>
                <w:szCs w:val="20"/>
                <w:u w:val="single"/>
                <w:lang w:eastAsia="ko-KR"/>
              </w:rPr>
              <w:t>Issue 2-</w:t>
            </w:r>
            <w:r>
              <w:rPr>
                <w:rFonts w:hint="default" w:ascii="Times New Roman" w:hAnsi="Times New Roman" w:eastAsia="Yu Mincho" w:cs="Times New Roman"/>
                <w:b/>
                <w:sz w:val="20"/>
                <w:szCs w:val="20"/>
                <w:u w:val="single"/>
                <w:lang w:eastAsia="ja-JP"/>
              </w:rPr>
              <w:t>2</w:t>
            </w:r>
            <w:r>
              <w:rPr>
                <w:rFonts w:hint="default" w:ascii="Times New Roman" w:hAnsi="Times New Roman" w:cs="Times New Roman"/>
                <w:b/>
                <w:sz w:val="20"/>
                <w:szCs w:val="20"/>
                <w:u w:val="single"/>
                <w:lang w:eastAsia="ko-KR"/>
              </w:rPr>
              <w:t xml:space="preserve">: </w:t>
            </w:r>
            <w:r>
              <w:rPr>
                <w:rFonts w:hint="default" w:ascii="Times New Roman" w:hAnsi="Times New Roman" w:eastAsia="Yu Mincho" w:cs="Times New Roman"/>
                <w:b/>
                <w:sz w:val="20"/>
                <w:szCs w:val="20"/>
                <w:u w:val="single"/>
                <w:lang w:eastAsia="ja-JP"/>
              </w:rPr>
              <w:t>Measurement period for inference</w:t>
            </w:r>
          </w:p>
          <w:p w14:paraId="092830F6">
            <w:pPr>
              <w:rPr>
                <w:rFonts w:hint="default" w:ascii="Times New Roman" w:hAnsi="Times New Roman" w:eastAsia="Yu Mincho" w:cs="Times New Roman"/>
                <w:b/>
                <w:sz w:val="20"/>
                <w:szCs w:val="20"/>
                <w:u w:val="single"/>
                <w:lang w:eastAsia="ko-KR"/>
              </w:rPr>
            </w:pPr>
          </w:p>
          <w:p w14:paraId="5D36D17B">
            <w:pPr>
              <w:spacing w:after="120"/>
              <w:rPr>
                <w:rFonts w:hint="default" w:ascii="Times New Roman" w:hAnsi="Times New Roman" w:eastAsia="Yu Mincho" w:cs="Times New Roman"/>
                <w:iCs/>
                <w:sz w:val="20"/>
                <w:szCs w:val="20"/>
                <w:lang w:eastAsia="ja-JP"/>
              </w:rPr>
            </w:pPr>
            <w:r>
              <w:rPr>
                <w:rFonts w:hint="default" w:ascii="Times New Roman" w:hAnsi="Times New Roman" w:eastAsia="Yu Mincho" w:cs="Times New Roman"/>
                <w:iCs/>
                <w:sz w:val="20"/>
                <w:szCs w:val="20"/>
                <w:lang w:eastAsia="ja-JP"/>
              </w:rPr>
              <w:t xml:space="preserve">Case 1: The starting point is to use M, N, P (reference the values from an existing clause in the same version of the spec where the measurement period is defined) </w:t>
            </w:r>
          </w:p>
          <w:p w14:paraId="0C38BB0D">
            <w:pPr>
              <w:spacing w:after="120"/>
              <w:rPr>
                <w:rFonts w:hint="default" w:ascii="Times New Roman" w:hAnsi="Times New Roman" w:eastAsia="等线" w:cs="Times New Roman"/>
                <w:sz w:val="20"/>
                <w:szCs w:val="20"/>
                <w:highlight w:val="green"/>
                <w:lang w:val="en-US" w:eastAsia="zh-CN"/>
              </w:rPr>
            </w:pPr>
            <w:r>
              <w:rPr>
                <w:rFonts w:hint="default" w:ascii="Times New Roman" w:hAnsi="Times New Roman" w:eastAsia="Yu Mincho" w:cs="Times New Roman"/>
                <w:iCs/>
                <w:sz w:val="20"/>
                <w:szCs w:val="20"/>
                <w:lang w:eastAsia="ja-JP"/>
              </w:rPr>
              <w:t>Case 2: postpone discussion until RAN1 concludes</w:t>
            </w:r>
          </w:p>
        </w:tc>
      </w:tr>
    </w:tbl>
    <w:p w14:paraId="6E044BD1">
      <w:pPr>
        <w:spacing w:after="180" w:line="240" w:lineRule="exact"/>
        <w:rPr>
          <w:rFonts w:hint="default" w:ascii="Times New Roman" w:hAnsi="Times New Roman" w:eastAsia="等线"/>
          <w:bCs/>
          <w:iCs/>
          <w:sz w:val="20"/>
          <w:szCs w:val="20"/>
          <w:lang w:val="en-US" w:eastAsia="zh-CN"/>
        </w:rPr>
      </w:pPr>
    </w:p>
    <w:p w14:paraId="7020B421">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Deactivation delay for CSI prediction is FFS. According to the discussion in last meeting, one issue for further discussion is whether network can differentiate between the predicted CSI reporting and the measured CSI reporting. According to RAN1 agreements, the answer is yes. RAN1 agreed to introduce new RRC parameter for CSI report configuration to distinguish CSI report of AI-CSI prediction and non-AI CSI prediction. Since network can differentiate </w:t>
      </w:r>
      <w:r>
        <w:rPr>
          <w:rFonts w:hint="default" w:ascii="Times New Roman" w:hAnsi="Times New Roman" w:cs="Times New Roman"/>
          <w:sz w:val="20"/>
          <w:szCs w:val="20"/>
          <w:lang w:eastAsia="zh-CN"/>
        </w:rPr>
        <w:t>between the predicted CSI reporting and the measured CSI reporting</w:t>
      </w:r>
      <w:r>
        <w:rPr>
          <w:rFonts w:hint="eastAsia" w:ascii="Times New Roman" w:hAnsi="Times New Roman" w:cs="Times New Roman"/>
          <w:sz w:val="20"/>
          <w:szCs w:val="20"/>
          <w:lang w:val="en-US" w:eastAsia="zh-CN"/>
        </w:rPr>
        <w:t>, it is feasible to define the deactivation delay for CSI prediction.</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27DD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0C4DC89">
            <w:pPr>
              <w:spacing w:after="180" w:line="240" w:lineRule="exact"/>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RAN1 agreements in RAN1#120bis</w:t>
            </w:r>
          </w:p>
          <w:p w14:paraId="46CDAE58">
            <w:pPr>
              <w:ind w:left="0" w:firstLine="0"/>
              <w:rPr>
                <w:rFonts w:hint="default" w:ascii="Times New Roman" w:hAnsi="Times New Roman" w:eastAsia="等线" w:cs="Times New Roman"/>
                <w:sz w:val="20"/>
                <w:szCs w:val="20"/>
                <w:highlight w:val="green"/>
                <w:lang w:eastAsia="zh-CN"/>
              </w:rPr>
            </w:pPr>
            <w:r>
              <w:rPr>
                <w:rFonts w:hint="default" w:ascii="Times New Roman" w:hAnsi="Times New Roman" w:eastAsia="等线" w:cs="Times New Roman"/>
                <w:sz w:val="20"/>
                <w:szCs w:val="20"/>
                <w:highlight w:val="green"/>
                <w:lang w:eastAsia="zh-CN"/>
              </w:rPr>
              <w:t>Agreement</w:t>
            </w:r>
          </w:p>
          <w:p w14:paraId="5BA6511D">
            <w:pPr>
              <w:ind w:left="0" w:firstLine="0"/>
              <w:jc w:val="both"/>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For CSI prediction using UE-side model, at least for inference, introduce new RRC parameter for CSI report configuration to distinguish CSI report of AI-CSI prediction and non-AI CSI prediction.</w:t>
            </w:r>
          </w:p>
          <w:p w14:paraId="1682BC00">
            <w:pPr>
              <w:numPr>
                <w:ilvl w:val="0"/>
                <w:numId w:val="11"/>
              </w:numPr>
              <w:suppressAutoHyphens/>
              <w:jc w:val="both"/>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Note: terminology of “AI-CSI prediction” and “non-AI CSI prediction” is separate discussion</w:t>
            </w:r>
          </w:p>
          <w:p w14:paraId="3A142105">
            <w:pPr>
              <w:numPr>
                <w:ilvl w:val="0"/>
                <w:numId w:val="11"/>
              </w:numPr>
              <w:suppressAutoHyphens/>
              <w:jc w:val="both"/>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z w:val="20"/>
                <w:szCs w:val="20"/>
                <w:lang w:eastAsia="ko-KR"/>
              </w:rPr>
              <w:t>Detailed parameter name is upto RAN2</w:t>
            </w:r>
          </w:p>
        </w:tc>
      </w:tr>
    </w:tbl>
    <w:p w14:paraId="722C7B29">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 </w:t>
      </w:r>
    </w:p>
    <w:p w14:paraId="67DEDE1F">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Observation 1: RAN1 agreed to introduce new RRC parameter for CSI report configuration to distinguish CSI report of AI-CSI prediction and non-AI CSI prediction.</w:t>
      </w:r>
    </w:p>
    <w:p w14:paraId="4D3FD833">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Following is the RAN1 agreements on CSI prediction, as highlighted in blue, the supported inference report type includes semi-persistent report and aperiodic report. Both are activated by DCI. Similar as beam prediction, if deactivation delay is defined, the starting point is the reception of the DCI.</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AB15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2857E91">
            <w:pPr>
              <w:spacing w:after="180" w:line="240" w:lineRule="exact"/>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RAN1 agreements in RAN1#121</w:t>
            </w:r>
          </w:p>
          <w:p w14:paraId="04322D8D">
            <w:pPr>
              <w:ind w:left="0" w:firstLine="0"/>
              <w:rPr>
                <w:rFonts w:hint="default" w:ascii="Times New Roman" w:hAnsi="Times New Roman" w:eastAsia="等线" w:cs="Times New Roman"/>
                <w:sz w:val="20"/>
                <w:szCs w:val="20"/>
                <w:highlight w:val="green"/>
                <w:lang w:eastAsia="zh-CN"/>
              </w:rPr>
            </w:pPr>
            <w:r>
              <w:rPr>
                <w:rFonts w:hint="default" w:ascii="Times New Roman" w:hAnsi="Times New Roman" w:eastAsia="等线" w:cs="Times New Roman"/>
                <w:sz w:val="20"/>
                <w:szCs w:val="20"/>
                <w:highlight w:val="green"/>
                <w:lang w:eastAsia="zh-CN"/>
              </w:rPr>
              <w:t>Agreement</w:t>
            </w:r>
          </w:p>
          <w:p w14:paraId="140A2CBA">
            <w:pPr>
              <w:ind w:left="0" w:firstLine="0"/>
              <w:rPr>
                <w:rFonts w:hint="default" w:ascii="Times New Roman" w:hAnsi="Times New Roman" w:cs="Times New Roman"/>
                <w:sz w:val="20"/>
                <w:szCs w:val="20"/>
              </w:rPr>
            </w:pPr>
            <w:r>
              <w:rPr>
                <w:rFonts w:hint="default" w:ascii="Times New Roman" w:hAnsi="Times New Roman" w:cs="Times New Roman"/>
                <w:sz w:val="20"/>
                <w:szCs w:val="20"/>
                <w:highlight w:val="none"/>
                <w:lang w:eastAsia="ko-KR"/>
              </w:rPr>
              <w:t>For CSI prediction using UE-side model</w:t>
            </w:r>
            <w:r>
              <w:rPr>
                <w:rFonts w:hint="default" w:ascii="Times New Roman" w:hAnsi="Times New Roman" w:cs="Times New Roman"/>
                <w:sz w:val="20"/>
                <w:szCs w:val="20"/>
                <w:lang w:eastAsia="ko-KR"/>
              </w:rPr>
              <w:t xml:space="preserve">, </w:t>
            </w:r>
            <w:r>
              <w:rPr>
                <w:rFonts w:hint="default" w:ascii="Times New Roman" w:hAnsi="Times New Roman" w:cs="Times New Roman"/>
                <w:sz w:val="20"/>
                <w:szCs w:val="20"/>
              </w:rPr>
              <w:t xml:space="preserve">for UE assisted performance monitoring, </w:t>
            </w:r>
          </w:p>
          <w:p w14:paraId="65629F61">
            <w:pPr>
              <w:numPr>
                <w:ilvl w:val="0"/>
                <w:numId w:val="12"/>
              </w:numPr>
              <w:suppressAutoHyphens/>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Support to reuse CSI framework for the configuration for monitoring result report in L1 signaling</w:t>
            </w:r>
          </w:p>
          <w:p w14:paraId="138934D7">
            <w:pPr>
              <w:widowControl w:val="0"/>
              <w:numPr>
                <w:ilvl w:val="1"/>
                <w:numId w:val="12"/>
              </w:numPr>
              <w:tabs>
                <w:tab w:val="left" w:pos="720"/>
              </w:tabs>
              <w:spacing w:line="276" w:lineRule="auto"/>
              <w:rPr>
                <w:rFonts w:hint="default" w:ascii="Times New Roman" w:hAnsi="Times New Roman" w:cs="Times New Roman"/>
                <w:kern w:val="2"/>
                <w:sz w:val="20"/>
                <w:szCs w:val="20"/>
                <w:lang w:eastAsia="zh-CN"/>
              </w:rPr>
            </w:pPr>
            <w:r>
              <w:rPr>
                <w:rFonts w:hint="default" w:ascii="Times New Roman" w:hAnsi="Times New Roman" w:cs="Times New Roman"/>
                <w:kern w:val="2"/>
                <w:sz w:val="20"/>
                <w:szCs w:val="20"/>
                <w:lang w:eastAsia="zh-CN"/>
              </w:rPr>
              <w:t>Dedicated resource set for monitoring and report configuration for monitoring are configured in a dedicated CSI report configuration used for monitoring</w:t>
            </w:r>
          </w:p>
          <w:p w14:paraId="11BCE577">
            <w:pPr>
              <w:numPr>
                <w:ilvl w:val="2"/>
                <w:numId w:val="12"/>
              </w:numPr>
              <w:suppressAutoHyphens/>
              <w:rPr>
                <w:rFonts w:hint="default" w:ascii="Times New Roman" w:hAnsi="Times New Roman" w:eastAsia="等线" w:cs="Times New Roman"/>
                <w:sz w:val="20"/>
                <w:szCs w:val="20"/>
                <w:lang w:eastAsia="ko-KR"/>
              </w:rPr>
            </w:pPr>
            <w:r>
              <w:rPr>
                <w:rFonts w:hint="default" w:ascii="Times New Roman" w:hAnsi="Times New Roman" w:eastAsia="等线" w:cs="Times New Roman"/>
                <w:sz w:val="20"/>
                <w:szCs w:val="20"/>
                <w:lang w:eastAsia="ko-KR"/>
              </w:rPr>
              <w:t xml:space="preserve">The ID of an inference report configuration is configured in the configuration for monitoring to link the inference report configuration and monitoring report configuration </w:t>
            </w:r>
          </w:p>
          <w:p w14:paraId="16BBB30A">
            <w:pPr>
              <w:numPr>
                <w:ilvl w:val="2"/>
                <w:numId w:val="12"/>
              </w:numPr>
              <w:suppressAutoHyphens/>
              <w:rPr>
                <w:rFonts w:hint="default" w:ascii="Times New Roman" w:hAnsi="Times New Roman" w:eastAsia="等线" w:cs="Times New Roman"/>
                <w:sz w:val="20"/>
                <w:szCs w:val="20"/>
                <w:lang w:eastAsia="ko-KR"/>
              </w:rPr>
            </w:pPr>
            <w:r>
              <w:rPr>
                <w:rFonts w:hint="default" w:ascii="Times New Roman" w:hAnsi="Times New Roman" w:eastAsia="等线" w:cs="Times New Roman"/>
                <w:sz w:val="20"/>
                <w:szCs w:val="20"/>
                <w:lang w:eastAsia="ko-KR"/>
              </w:rPr>
              <w:t>For monitoring report type, semi-persistent and aperiodic are supported</w:t>
            </w:r>
          </w:p>
          <w:p w14:paraId="39D051F0">
            <w:pPr>
              <w:numPr>
                <w:ilvl w:val="2"/>
                <w:numId w:val="12"/>
              </w:numPr>
              <w:suppressAutoHyphens/>
              <w:rPr>
                <w:rFonts w:hint="default" w:ascii="Times New Roman" w:hAnsi="Times New Roman" w:eastAsia="等线" w:cs="Times New Roman"/>
                <w:sz w:val="20"/>
                <w:szCs w:val="20"/>
                <w:lang w:eastAsia="ko-KR"/>
              </w:rPr>
            </w:pPr>
            <w:r>
              <w:rPr>
                <w:rFonts w:hint="default" w:ascii="Times New Roman" w:hAnsi="Times New Roman" w:eastAsia="等线" w:cs="Times New Roman"/>
                <w:sz w:val="20"/>
                <w:szCs w:val="20"/>
                <w:lang w:eastAsia="ko-KR"/>
              </w:rPr>
              <w:t>The following combination for inference report type and monitoring report type are supported</w:t>
            </w:r>
          </w:p>
          <w:tbl>
            <w:tblPr>
              <w:tblStyle w:val="8"/>
              <w:tblW w:w="5714" w:type="dxa"/>
              <w:jc w:val="center"/>
              <w:tblLayout w:type="autofit"/>
              <w:tblCellMar>
                <w:top w:w="0" w:type="dxa"/>
                <w:left w:w="108" w:type="dxa"/>
                <w:bottom w:w="0" w:type="dxa"/>
                <w:right w:w="108" w:type="dxa"/>
              </w:tblCellMar>
            </w:tblPr>
            <w:tblGrid>
              <w:gridCol w:w="3257"/>
              <w:gridCol w:w="1228"/>
              <w:gridCol w:w="1229"/>
            </w:tblGrid>
            <w:tr w14:paraId="57DD6D40">
              <w:tblPrEx>
                <w:tblCellMar>
                  <w:top w:w="0" w:type="dxa"/>
                  <w:left w:w="108" w:type="dxa"/>
                  <w:bottom w:w="0" w:type="dxa"/>
                  <w:right w:w="108" w:type="dxa"/>
                </w:tblCellMar>
              </w:tblPrEx>
              <w:trPr>
                <w:jc w:val="center"/>
              </w:trPr>
              <w:tc>
                <w:tcPr>
                  <w:tcW w:w="3257" w:type="dxa"/>
                  <w:tcBorders>
                    <w:top w:val="single" w:color="000000" w:sz="4" w:space="0"/>
                    <w:left w:val="single" w:color="000000" w:sz="4" w:space="0"/>
                    <w:bottom w:val="single" w:color="000000" w:sz="4" w:space="0"/>
                    <w:right w:val="single" w:color="000000" w:sz="4" w:space="0"/>
                  </w:tcBorders>
                  <w:shd w:val="clear" w:color="auto" w:fill="D9D9D9"/>
                </w:tcPr>
                <w:p w14:paraId="07E42CB9">
                  <w:pPr>
                    <w:widowControl w:val="0"/>
                    <w:ind w:left="0" w:firstLine="110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Monitoring report type</w:t>
                  </w:r>
                </w:p>
                <w:p w14:paraId="57946217">
                  <w:pPr>
                    <w:widowControl w:val="0"/>
                    <w:ind w:left="0" w:firstLine="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Inference report type</w:t>
                  </w:r>
                </w:p>
              </w:tc>
              <w:tc>
                <w:tcPr>
                  <w:tcW w:w="1228" w:type="dxa"/>
                  <w:tcBorders>
                    <w:top w:val="single" w:color="000000" w:sz="4" w:space="0"/>
                    <w:left w:val="single" w:color="000000" w:sz="4" w:space="0"/>
                    <w:bottom w:val="single" w:color="000000" w:sz="4" w:space="0"/>
                    <w:right w:val="single" w:color="000000" w:sz="4" w:space="0"/>
                  </w:tcBorders>
                  <w:shd w:val="clear" w:color="auto" w:fill="D9D9D9"/>
                </w:tcPr>
                <w:p w14:paraId="7283DEA0">
                  <w:pPr>
                    <w:widowControl w:val="0"/>
                    <w:ind w:left="0" w:firstLine="0"/>
                    <w:rPr>
                      <w:rFonts w:hint="default" w:ascii="Times New Roman" w:hAnsi="Times New Roman" w:cs="Times New Roman"/>
                      <w:bCs/>
                      <w:sz w:val="20"/>
                      <w:szCs w:val="20"/>
                    </w:rPr>
                  </w:pPr>
                  <w:r>
                    <w:rPr>
                      <w:rFonts w:hint="default" w:ascii="Times New Roman" w:hAnsi="Times New Roman" w:cs="Times New Roman"/>
                      <w:bCs/>
                      <w:sz w:val="20"/>
                      <w:szCs w:val="20"/>
                    </w:rPr>
                    <w:t>SP report</w:t>
                  </w:r>
                </w:p>
              </w:tc>
              <w:tc>
                <w:tcPr>
                  <w:tcW w:w="1229" w:type="dxa"/>
                  <w:tcBorders>
                    <w:top w:val="single" w:color="000000" w:sz="4" w:space="0"/>
                    <w:left w:val="single" w:color="000000" w:sz="4" w:space="0"/>
                    <w:bottom w:val="single" w:color="000000" w:sz="4" w:space="0"/>
                    <w:right w:val="single" w:color="000000" w:sz="4" w:space="0"/>
                  </w:tcBorders>
                  <w:shd w:val="clear" w:color="auto" w:fill="D9D9D9"/>
                </w:tcPr>
                <w:p w14:paraId="48008AE6">
                  <w:pPr>
                    <w:widowControl w:val="0"/>
                    <w:ind w:left="0" w:firstLine="0"/>
                    <w:rPr>
                      <w:rFonts w:hint="default" w:ascii="Times New Roman" w:hAnsi="Times New Roman" w:cs="Times New Roman"/>
                      <w:bCs/>
                      <w:sz w:val="20"/>
                      <w:szCs w:val="20"/>
                    </w:rPr>
                  </w:pPr>
                  <w:r>
                    <w:rPr>
                      <w:rFonts w:hint="default" w:ascii="Times New Roman" w:hAnsi="Times New Roman" w:cs="Times New Roman"/>
                      <w:bCs/>
                      <w:sz w:val="20"/>
                      <w:szCs w:val="20"/>
                    </w:rPr>
                    <w:t>AP report</w:t>
                  </w:r>
                </w:p>
              </w:tc>
            </w:tr>
            <w:tr w14:paraId="6D282AE5">
              <w:tblPrEx>
                <w:tblCellMar>
                  <w:top w:w="0" w:type="dxa"/>
                  <w:left w:w="108" w:type="dxa"/>
                  <w:bottom w:w="0" w:type="dxa"/>
                  <w:right w:w="108" w:type="dxa"/>
                </w:tblCellMar>
              </w:tblPrEx>
              <w:trPr>
                <w:jc w:val="center"/>
              </w:trPr>
              <w:tc>
                <w:tcPr>
                  <w:tcW w:w="3257" w:type="dxa"/>
                  <w:tcBorders>
                    <w:top w:val="single" w:color="000000" w:sz="4" w:space="0"/>
                    <w:left w:val="single" w:color="000000" w:sz="4" w:space="0"/>
                    <w:bottom w:val="single" w:color="000000" w:sz="4" w:space="0"/>
                    <w:right w:val="single" w:color="000000" w:sz="4" w:space="0"/>
                  </w:tcBorders>
                  <w:shd w:val="clear" w:color="auto" w:fill="auto"/>
                </w:tcPr>
                <w:p w14:paraId="64B505F7">
                  <w:pPr>
                    <w:widowControl w:val="0"/>
                    <w:ind w:left="0" w:firstLine="0"/>
                    <w:rPr>
                      <w:rFonts w:hint="default" w:ascii="Times New Roman" w:hAnsi="Times New Roman" w:cs="Times New Roman"/>
                      <w:bCs/>
                      <w:sz w:val="20"/>
                      <w:szCs w:val="20"/>
                      <w:highlight w:val="cyan"/>
                    </w:rPr>
                  </w:pPr>
                  <w:r>
                    <w:rPr>
                      <w:rFonts w:hint="default" w:ascii="Times New Roman" w:hAnsi="Times New Roman" w:cs="Times New Roman"/>
                      <w:bCs/>
                      <w:sz w:val="20"/>
                      <w:szCs w:val="20"/>
                      <w:highlight w:val="cyan"/>
                    </w:rPr>
                    <w:t>AP report</w:t>
                  </w:r>
                </w:p>
              </w:tc>
              <w:tc>
                <w:tcPr>
                  <w:tcW w:w="1228" w:type="dxa"/>
                  <w:tcBorders>
                    <w:top w:val="single" w:color="000000" w:sz="4" w:space="0"/>
                    <w:left w:val="single" w:color="000000" w:sz="4" w:space="0"/>
                    <w:bottom w:val="single" w:color="000000" w:sz="4" w:space="0"/>
                    <w:right w:val="single" w:color="000000" w:sz="4" w:space="0"/>
                  </w:tcBorders>
                  <w:shd w:val="clear" w:color="auto" w:fill="auto"/>
                </w:tcPr>
                <w:p w14:paraId="0FB2CD25">
                  <w:pPr>
                    <w:widowControl w:val="0"/>
                    <w:ind w:left="0" w:firstLine="0"/>
                    <w:rPr>
                      <w:rFonts w:hint="default" w:ascii="Times New Roman" w:hAnsi="Times New Roman" w:cs="Times New Roman"/>
                      <w:bCs/>
                      <w:sz w:val="20"/>
                      <w:szCs w:val="20"/>
                    </w:rPr>
                  </w:pPr>
                  <w:r>
                    <w:rPr>
                      <w:rFonts w:hint="default" w:ascii="Times New Roman" w:hAnsi="Times New Roman" w:cs="Times New Roman"/>
                      <w:bCs/>
                      <w:sz w:val="20"/>
                      <w:szCs w:val="20"/>
                      <w:lang w:eastAsia="zh-CN"/>
                    </w:rPr>
                    <w:t>Not support</w:t>
                  </w:r>
                </w:p>
              </w:tc>
              <w:tc>
                <w:tcPr>
                  <w:tcW w:w="1229" w:type="dxa"/>
                  <w:tcBorders>
                    <w:top w:val="single" w:color="000000" w:sz="4" w:space="0"/>
                    <w:left w:val="single" w:color="000000" w:sz="4" w:space="0"/>
                    <w:bottom w:val="single" w:color="000000" w:sz="4" w:space="0"/>
                    <w:right w:val="single" w:color="000000" w:sz="4" w:space="0"/>
                  </w:tcBorders>
                  <w:shd w:val="clear" w:color="auto" w:fill="auto"/>
                </w:tcPr>
                <w:p w14:paraId="5974B3F2">
                  <w:pPr>
                    <w:widowControl w:val="0"/>
                    <w:spacing w:line="276" w:lineRule="auto"/>
                    <w:ind w:left="0" w:firstLine="0"/>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Support</w:t>
                  </w:r>
                  <w:r>
                    <w:rPr>
                      <w:rFonts w:hint="default" w:ascii="Times New Roman" w:hAnsi="Times New Roman" w:cs="Times New Roman"/>
                      <w:bCs/>
                      <w:sz w:val="20"/>
                      <w:szCs w:val="20"/>
                      <w:lang w:eastAsia="zh-TW"/>
                    </w:rPr>
                    <w:t xml:space="preserve"> </w:t>
                  </w:r>
                </w:p>
              </w:tc>
            </w:tr>
            <w:tr w14:paraId="1508F386">
              <w:tblPrEx>
                <w:tblCellMar>
                  <w:top w:w="0" w:type="dxa"/>
                  <w:left w:w="108" w:type="dxa"/>
                  <w:bottom w:w="0" w:type="dxa"/>
                  <w:right w:w="108" w:type="dxa"/>
                </w:tblCellMar>
              </w:tblPrEx>
              <w:trPr>
                <w:jc w:val="center"/>
              </w:trPr>
              <w:tc>
                <w:tcPr>
                  <w:tcW w:w="3257" w:type="dxa"/>
                  <w:tcBorders>
                    <w:top w:val="single" w:color="000000" w:sz="4" w:space="0"/>
                    <w:left w:val="single" w:color="000000" w:sz="4" w:space="0"/>
                    <w:bottom w:val="single" w:color="000000" w:sz="4" w:space="0"/>
                    <w:right w:val="single" w:color="000000" w:sz="4" w:space="0"/>
                  </w:tcBorders>
                  <w:shd w:val="clear" w:color="auto" w:fill="auto"/>
                </w:tcPr>
                <w:p w14:paraId="3902872E">
                  <w:pPr>
                    <w:widowControl w:val="0"/>
                    <w:ind w:left="0" w:firstLine="0"/>
                    <w:rPr>
                      <w:rFonts w:hint="default" w:ascii="Times New Roman" w:hAnsi="Times New Roman" w:cs="Times New Roman"/>
                      <w:bCs/>
                      <w:sz w:val="20"/>
                      <w:szCs w:val="20"/>
                      <w:highlight w:val="cyan"/>
                    </w:rPr>
                  </w:pPr>
                  <w:r>
                    <w:rPr>
                      <w:rFonts w:hint="default" w:ascii="Times New Roman" w:hAnsi="Times New Roman" w:cs="Times New Roman"/>
                      <w:bCs/>
                      <w:sz w:val="20"/>
                      <w:szCs w:val="20"/>
                      <w:highlight w:val="cyan"/>
                    </w:rPr>
                    <w:t>SP report</w:t>
                  </w:r>
                </w:p>
              </w:tc>
              <w:tc>
                <w:tcPr>
                  <w:tcW w:w="1228" w:type="dxa"/>
                  <w:tcBorders>
                    <w:top w:val="single" w:color="000000" w:sz="4" w:space="0"/>
                    <w:left w:val="single" w:color="000000" w:sz="4" w:space="0"/>
                    <w:bottom w:val="single" w:color="000000" w:sz="4" w:space="0"/>
                    <w:right w:val="single" w:color="000000" w:sz="4" w:space="0"/>
                  </w:tcBorders>
                  <w:shd w:val="clear" w:color="auto" w:fill="auto"/>
                </w:tcPr>
                <w:p w14:paraId="3108D072">
                  <w:pPr>
                    <w:widowControl w:val="0"/>
                    <w:ind w:left="0" w:firstLine="0"/>
                    <w:rPr>
                      <w:rFonts w:hint="default" w:ascii="Times New Roman" w:hAnsi="Times New Roman" w:cs="Times New Roman"/>
                      <w:bCs/>
                      <w:sz w:val="20"/>
                      <w:szCs w:val="20"/>
                    </w:rPr>
                  </w:pPr>
                  <w:r>
                    <w:rPr>
                      <w:rFonts w:hint="default" w:ascii="Times New Roman" w:hAnsi="Times New Roman" w:cs="Times New Roman"/>
                      <w:bCs/>
                      <w:sz w:val="20"/>
                      <w:szCs w:val="20"/>
                      <w:lang w:eastAsia="zh-CN"/>
                    </w:rPr>
                    <w:t>Support</w:t>
                  </w:r>
                </w:p>
              </w:tc>
              <w:tc>
                <w:tcPr>
                  <w:tcW w:w="1229" w:type="dxa"/>
                  <w:tcBorders>
                    <w:top w:val="single" w:color="000000" w:sz="4" w:space="0"/>
                    <w:left w:val="single" w:color="000000" w:sz="4" w:space="0"/>
                    <w:bottom w:val="single" w:color="000000" w:sz="4" w:space="0"/>
                    <w:right w:val="single" w:color="000000" w:sz="4" w:space="0"/>
                  </w:tcBorders>
                  <w:shd w:val="clear" w:color="auto" w:fill="auto"/>
                </w:tcPr>
                <w:p w14:paraId="3A316BFF">
                  <w:pPr>
                    <w:widowControl w:val="0"/>
                    <w:spacing w:line="276" w:lineRule="auto"/>
                    <w:ind w:left="0" w:firstLine="0"/>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Support</w:t>
                  </w:r>
                </w:p>
              </w:tc>
            </w:tr>
          </w:tbl>
          <w:p w14:paraId="13732603">
            <w:pPr>
              <w:widowControl w:val="0"/>
              <w:numPr>
                <w:ilvl w:val="1"/>
                <w:numId w:val="12"/>
              </w:numPr>
              <w:suppressAutoHyphens/>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For monitoring resource type for measurement, periodic, semi-persistent and aperiodic are supported.</w:t>
            </w:r>
          </w:p>
          <w:p w14:paraId="425C2953">
            <w:pPr>
              <w:spacing w:after="180" w:line="240" w:lineRule="exact"/>
              <w:rPr>
                <w:rFonts w:hint="default" w:ascii="Times New Roman" w:hAnsi="Times New Roman" w:eastAsia="等线" w:cs="Times New Roman"/>
                <w:bCs/>
                <w:iCs/>
                <w:sz w:val="20"/>
                <w:szCs w:val="20"/>
                <w:vertAlign w:val="baseline"/>
                <w:lang w:val="en-US" w:eastAsia="zh-CN"/>
              </w:rPr>
            </w:pPr>
          </w:p>
        </w:tc>
      </w:tr>
    </w:tbl>
    <w:p w14:paraId="0B1E158C">
      <w:pPr>
        <w:spacing w:after="180" w:line="240" w:lineRule="exact"/>
        <w:rPr>
          <w:rFonts w:hint="default" w:ascii="Times New Roman" w:hAnsi="Times New Roman" w:eastAsia="等线"/>
          <w:bCs/>
          <w:iCs/>
          <w:sz w:val="20"/>
          <w:szCs w:val="20"/>
          <w:lang w:val="en-US" w:eastAsia="zh-CN"/>
        </w:rPr>
      </w:pPr>
    </w:p>
    <w:p w14:paraId="7A341390">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Proposal 4: for CSI prediction, it is proposed to define deactivation delay, considering that RAN1 agreed to introduce new RRC parameter for CSI report configuration to distinguish CSI report of AI-CSI prediction and non-AI CSI prediction.</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29B1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F4DD4DB">
            <w:pPr>
              <w:rPr>
                <w:rFonts w:hint="eastAsia" w:ascii="Times New Roman" w:hAnsi="Times New Roman" w:cs="Times New Roman"/>
                <w:b/>
                <w:sz w:val="20"/>
                <w:szCs w:val="20"/>
                <w:u w:val="none"/>
                <w:lang w:val="en-US" w:eastAsia="zh-CN"/>
              </w:rPr>
            </w:pPr>
            <w:r>
              <w:rPr>
                <w:rFonts w:hint="eastAsia" w:ascii="Times New Roman" w:hAnsi="Times New Roman" w:cs="Times New Roman"/>
                <w:b/>
                <w:sz w:val="20"/>
                <w:szCs w:val="20"/>
                <w:u w:val="none"/>
                <w:lang w:val="en-US" w:eastAsia="zh-CN"/>
              </w:rPr>
              <w:t>Agreements in RAN4#112bis</w:t>
            </w:r>
          </w:p>
          <w:p w14:paraId="21C799E5">
            <w:pPr>
              <w:rPr>
                <w:rFonts w:hint="default" w:ascii="Times New Roman" w:hAnsi="Times New Roman" w:cs="Times New Roman"/>
                <w:b/>
                <w:sz w:val="20"/>
                <w:szCs w:val="20"/>
                <w:u w:val="none"/>
                <w:lang w:val="en-US" w:eastAsia="zh-CN"/>
              </w:rPr>
            </w:pPr>
          </w:p>
          <w:p w14:paraId="033F7CD0">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 xml:space="preserve">Issue 1-4: AI/ML </w:t>
            </w:r>
            <w:r>
              <w:rPr>
                <w:rFonts w:hint="default" w:ascii="Times New Roman" w:hAnsi="Times New Roman" w:eastAsia="游明朝" w:cs="Times New Roman"/>
                <w:b/>
                <w:sz w:val="20"/>
                <w:szCs w:val="20"/>
                <w:u w:val="single"/>
                <w:lang w:eastAsia="ja-JP"/>
              </w:rPr>
              <w:t>Performance</w:t>
            </w:r>
            <w:r>
              <w:rPr>
                <w:rFonts w:hint="default" w:ascii="Times New Roman" w:hAnsi="Times New Roman" w:cs="Times New Roman"/>
                <w:b/>
                <w:sz w:val="20"/>
                <w:szCs w:val="20"/>
                <w:u w:val="single"/>
                <w:lang w:eastAsia="ko-KR"/>
              </w:rPr>
              <w:t xml:space="preserve"> </w:t>
            </w:r>
          </w:p>
          <w:p w14:paraId="4F8743DB">
            <w:p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Agreement:</w:t>
            </w:r>
          </w:p>
          <w:p w14:paraId="585C0652">
            <w:pPr>
              <w:pStyle w:val="11"/>
              <w:numPr>
                <w:ilvl w:val="0"/>
                <w:numId w:val="13"/>
              </w:numPr>
              <w:overflowPunct w:val="0"/>
              <w:autoSpaceDE w:val="0"/>
              <w:autoSpaceDN w:val="0"/>
              <w:adjustRightInd w:val="0"/>
              <w:ind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zh-CN"/>
              </w:rPr>
              <w:t>For CSI prediction, AI/ML based performance requirement should not be worse than the legacy (non-AI/ML based) if a relevant equivalent legacy requirement/feature exists.</w:t>
            </w:r>
          </w:p>
          <w:p w14:paraId="7DC99C56">
            <w:pPr>
              <w:pStyle w:val="11"/>
              <w:numPr>
                <w:ilvl w:val="1"/>
                <w:numId w:val="13"/>
              </w:numPr>
              <w:overflowPunct w:val="0"/>
              <w:autoSpaceDE w:val="0"/>
              <w:autoSpaceDN w:val="0"/>
              <w:adjustRightInd w:val="0"/>
              <w:ind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zh-CN"/>
              </w:rPr>
              <w:t>FFS which legacy requirement/feature are relevant</w:t>
            </w:r>
          </w:p>
          <w:p w14:paraId="4F358496">
            <w:pPr>
              <w:pStyle w:val="11"/>
              <w:numPr>
                <w:ilvl w:val="1"/>
                <w:numId w:val="13"/>
              </w:numPr>
              <w:overflowPunct w:val="0"/>
              <w:autoSpaceDE w:val="0"/>
              <w:autoSpaceDN w:val="0"/>
              <w:adjustRightInd w:val="0"/>
              <w:ind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zh-CN"/>
              </w:rPr>
              <w:t>FFS whether AI/ML based performance should be better than the legacy</w:t>
            </w:r>
          </w:p>
          <w:p w14:paraId="5067D6FE">
            <w:pPr>
              <w:pStyle w:val="11"/>
              <w:numPr>
                <w:ilvl w:val="0"/>
                <w:numId w:val="13"/>
              </w:numPr>
              <w:overflowPunct w:val="0"/>
              <w:autoSpaceDE w:val="0"/>
              <w:autoSpaceDN w:val="0"/>
              <w:adjustRightInd w:val="0"/>
              <w:ind w:firstLineChars="0"/>
              <w:textAlignment w:val="baseline"/>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游明朝" w:cs="Times New Roman"/>
                <w:sz w:val="20"/>
                <w:szCs w:val="20"/>
                <w:lang w:eastAsia="zh-CN"/>
              </w:rPr>
              <w:t>FFS on target for AI/ML based beam management</w:t>
            </w:r>
          </w:p>
        </w:tc>
      </w:tr>
    </w:tbl>
    <w:p w14:paraId="6E3A0B9C">
      <w:pPr>
        <w:spacing w:after="180" w:line="240" w:lineRule="exact"/>
        <w:rPr>
          <w:rFonts w:hint="eastAsia" w:ascii="Times New Roman" w:hAnsi="Times New Roman" w:eastAsia="等线"/>
          <w:bCs/>
          <w:iCs/>
          <w:sz w:val="20"/>
          <w:szCs w:val="20"/>
          <w:lang w:val="en-US" w:eastAsia="zh-CN"/>
        </w:rPr>
      </w:pPr>
    </w:p>
    <w:p w14:paraId="366D68D4">
      <w:pPr>
        <w:spacing w:after="180" w:line="240" w:lineRule="exact"/>
        <w:rPr>
          <w:rFonts w:hint="default" w:ascii="Times New Roman" w:hAnsi="Times New Roman" w:eastAsia="游明朝" w:cs="Times New Roman"/>
          <w:sz w:val="20"/>
          <w:szCs w:val="20"/>
          <w:lang w:val="en-US" w:eastAsia="zh-CN"/>
        </w:rPr>
      </w:pPr>
      <w:r>
        <w:rPr>
          <w:rFonts w:hint="eastAsia" w:ascii="Times New Roman" w:hAnsi="Times New Roman" w:eastAsia="等线"/>
          <w:bCs/>
          <w:iCs/>
          <w:sz w:val="20"/>
          <w:szCs w:val="20"/>
          <w:lang w:val="en-US" w:eastAsia="zh-CN"/>
        </w:rPr>
        <w:t xml:space="preserve">For the target for </w:t>
      </w:r>
      <w:r>
        <w:rPr>
          <w:rFonts w:hint="default" w:ascii="Times New Roman" w:hAnsi="Times New Roman" w:eastAsia="游明朝" w:cs="Times New Roman"/>
          <w:sz w:val="20"/>
          <w:szCs w:val="20"/>
          <w:lang w:eastAsia="zh-CN"/>
        </w:rPr>
        <w:t>AI/ML based beam management</w:t>
      </w:r>
      <w:r>
        <w:rPr>
          <w:rFonts w:hint="eastAsia" w:ascii="Times New Roman" w:hAnsi="Times New Roman" w:eastAsia="游明朝" w:cs="Times New Roman"/>
          <w:sz w:val="20"/>
          <w:szCs w:val="20"/>
          <w:lang w:val="en-US" w:eastAsia="zh-CN"/>
        </w:rPr>
        <w:t xml:space="preserve">, our view is that </w:t>
      </w:r>
      <w:r>
        <w:rPr>
          <w:rFonts w:hint="default" w:ascii="Times New Roman" w:hAnsi="Times New Roman" w:eastAsia="游明朝" w:cs="Times New Roman"/>
          <w:sz w:val="20"/>
          <w:szCs w:val="20"/>
          <w:lang w:eastAsia="zh-CN"/>
        </w:rPr>
        <w:t>AI/ML based performance requirement should not be worse than the legacy</w:t>
      </w:r>
      <w:r>
        <w:rPr>
          <w:rFonts w:hint="eastAsia" w:ascii="Times New Roman" w:hAnsi="Times New Roman" w:eastAsia="游明朝" w:cs="Times New Roman"/>
          <w:sz w:val="20"/>
          <w:szCs w:val="20"/>
          <w:lang w:val="en-US" w:eastAsia="zh-CN"/>
        </w:rPr>
        <w:t xml:space="preserve">. According to the discussion in last meeting, some companies mentioned that the </w:t>
      </w:r>
      <w:r>
        <w:rPr>
          <w:rFonts w:hint="default" w:ascii="Times New Roman" w:hAnsi="Times New Roman" w:eastAsia="游明朝" w:cs="Times New Roman"/>
          <w:sz w:val="20"/>
          <w:szCs w:val="20"/>
          <w:lang w:eastAsia="zh-CN"/>
        </w:rPr>
        <w:t>AI/ML based performance</w:t>
      </w:r>
      <w:r>
        <w:rPr>
          <w:rFonts w:hint="eastAsia" w:ascii="Times New Roman" w:hAnsi="Times New Roman" w:eastAsia="游明朝" w:cs="Times New Roman"/>
          <w:sz w:val="20"/>
          <w:szCs w:val="20"/>
          <w:lang w:val="en-US" w:eastAsia="zh-CN"/>
        </w:rPr>
        <w:t xml:space="preserve"> will</w:t>
      </w:r>
      <w:r>
        <w:rPr>
          <w:rFonts w:hint="default" w:ascii="Times New Roman" w:hAnsi="Times New Roman" w:eastAsia="游明朝" w:cs="Times New Roman"/>
          <w:sz w:val="20"/>
          <w:szCs w:val="20"/>
          <w:lang w:eastAsia="zh-CN"/>
        </w:rPr>
        <w:t xml:space="preserve"> be worse than the legacy</w:t>
      </w:r>
      <w:r>
        <w:rPr>
          <w:rFonts w:hint="eastAsia" w:ascii="Times New Roman" w:hAnsi="Times New Roman" w:eastAsia="游明朝" w:cs="Times New Roman"/>
          <w:sz w:val="20"/>
          <w:szCs w:val="20"/>
          <w:lang w:val="en-US" w:eastAsia="zh-CN"/>
        </w:rPr>
        <w:t xml:space="preserve">, since the gain come from overhead reduction. From operator point of view, we do not think that this is a good way to go. If the predicted results are worse than the legacy measured results, it will have impact on the network deployment, which is not preferred. </w:t>
      </w:r>
    </w:p>
    <w:p w14:paraId="0BA0F6CC">
      <w:pPr>
        <w:spacing w:after="180" w:line="240" w:lineRule="exact"/>
        <w:rPr>
          <w:rFonts w:hint="eastAsia" w:ascii="Times New Roman" w:hAnsi="Times New Roman" w:eastAsia="游明朝" w:cs="Times New Roman"/>
          <w:b/>
          <w:bCs/>
          <w:i/>
          <w:iCs/>
          <w:sz w:val="20"/>
          <w:szCs w:val="20"/>
          <w:lang w:val="en-US" w:eastAsia="zh-CN"/>
        </w:rPr>
      </w:pPr>
      <w:r>
        <w:rPr>
          <w:rFonts w:hint="eastAsia" w:ascii="Times New Roman" w:hAnsi="Times New Roman" w:eastAsia="游明朝" w:cs="Times New Roman"/>
          <w:b/>
          <w:bCs/>
          <w:i/>
          <w:iCs/>
          <w:sz w:val="20"/>
          <w:szCs w:val="20"/>
          <w:lang w:val="en-US" w:eastAsia="zh-CN"/>
        </w:rPr>
        <w:t xml:space="preserve">Proposal 5: for </w:t>
      </w:r>
      <w:r>
        <w:rPr>
          <w:rFonts w:hint="default" w:ascii="Times New Roman" w:hAnsi="Times New Roman" w:eastAsia="游明朝" w:cs="Times New Roman"/>
          <w:b/>
          <w:bCs/>
          <w:i/>
          <w:iCs/>
          <w:sz w:val="20"/>
          <w:szCs w:val="20"/>
          <w:lang w:eastAsia="zh-CN"/>
        </w:rPr>
        <w:t>AI/ML based beam management</w:t>
      </w:r>
      <w:r>
        <w:rPr>
          <w:rFonts w:hint="eastAsia" w:ascii="Times New Roman" w:hAnsi="Times New Roman" w:eastAsia="游明朝" w:cs="Times New Roman"/>
          <w:b/>
          <w:bCs/>
          <w:i/>
          <w:iCs/>
          <w:sz w:val="20"/>
          <w:szCs w:val="20"/>
          <w:lang w:val="en-US" w:eastAsia="zh-CN"/>
        </w:rPr>
        <w:t xml:space="preserve">, AI/ML based performance requirement should not be worse than the legacy measurement requirements.    </w:t>
      </w:r>
    </w:p>
    <w:p w14:paraId="3049FDED">
      <w:pPr>
        <w:rPr>
          <w:rFonts w:ascii="Times New Roman" w:hAnsi="Times New Roman"/>
          <w:i/>
          <w:sz w:val="20"/>
          <w:szCs w:val="20"/>
        </w:rPr>
      </w:pP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general aspects</w:t>
      </w:r>
      <w:r>
        <w:rPr>
          <w:rFonts w:hint="eastAsia" w:ascii="Times New Roman" w:hAnsi="Times New Roman"/>
          <w:sz w:val="20"/>
          <w:szCs w:val="20"/>
        </w:rPr>
        <w:t>. The proposals are:</w:t>
      </w:r>
    </w:p>
    <w:p w14:paraId="08412F36">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for beam prediciton, </w:t>
      </w:r>
      <w:r>
        <w:rPr>
          <w:rFonts w:hint="eastAsia" w:ascii="Times New Roman" w:hAnsi="Times New Roman" w:cs="Times New Roman"/>
          <w:b/>
          <w:bCs w:val="0"/>
          <w:i/>
          <w:iCs w:val="0"/>
          <w:sz w:val="20"/>
          <w:szCs w:val="20"/>
          <w:lang w:val="en-US" w:eastAsia="zh-CN"/>
        </w:rPr>
        <w:t xml:space="preserve">for both </w:t>
      </w:r>
      <w:r>
        <w:rPr>
          <w:rFonts w:hint="eastAsia" w:ascii="Times New Roman" w:hAnsi="Times New Roman" w:eastAsia="等线"/>
          <w:b/>
          <w:bCs w:val="0"/>
          <w:i/>
          <w:iCs w:val="0"/>
          <w:sz w:val="20"/>
          <w:szCs w:val="20"/>
          <w:lang w:val="en-US" w:eastAsia="zh-CN"/>
        </w:rPr>
        <w:t>semi-persistent CSI reporting and aperiodic CSI reporting</w:t>
      </w:r>
      <w:r>
        <w:rPr>
          <w:rFonts w:hint="eastAsia" w:ascii="Times New Roman" w:hAnsi="Times New Roman" w:cs="Times New Roman"/>
          <w:b/>
          <w:bCs w:val="0"/>
          <w:i/>
          <w:iCs w:val="0"/>
          <w:sz w:val="20"/>
          <w:szCs w:val="20"/>
          <w:lang w:val="en-US" w:eastAsia="zh-CN"/>
        </w:rPr>
        <w:t>,</w:t>
      </w:r>
      <w:r>
        <w:rPr>
          <w:rFonts w:hint="eastAsia" w:ascii="Times New Roman" w:hAnsi="Times New Roman" w:eastAsia="等线" w:cs="Times New Roman"/>
          <w:b/>
          <w:bCs w:val="0"/>
          <w:i/>
          <w:iCs w:val="0"/>
          <w:sz w:val="20"/>
          <w:szCs w:val="20"/>
          <w:vertAlign w:val="baseline"/>
          <w:lang w:val="en-US" w:eastAsia="zh-CN"/>
        </w:rPr>
        <w:t xml:space="preserve"> it is proposed that the ending point of activation delay is sending the inference report.</w:t>
      </w:r>
      <w:r>
        <w:rPr>
          <w:rFonts w:hint="eastAsia" w:ascii="Times New Roman" w:hAnsi="Times New Roman" w:eastAsia="等线"/>
          <w:b/>
          <w:bCs w:val="0"/>
          <w:i/>
          <w:iCs w:val="0"/>
          <w:sz w:val="20"/>
          <w:szCs w:val="20"/>
          <w:lang w:val="en-US" w:eastAsia="zh-CN"/>
        </w:rPr>
        <w:t xml:space="preserve">   </w:t>
      </w:r>
    </w:p>
    <w:p w14:paraId="589EAEEC">
      <w:pPr>
        <w:spacing w:after="180" w:line="240" w:lineRule="exact"/>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2: for beam prediction, for the case that </w:t>
      </w:r>
      <w:r>
        <w:rPr>
          <w:rFonts w:hint="eastAsia" w:ascii="Times New Roman" w:hAnsi="Times New Roman" w:eastAsia="等线"/>
          <w:b/>
          <w:bCs/>
          <w:i/>
          <w:iCs/>
          <w:sz w:val="20"/>
          <w:szCs w:val="20"/>
          <w:lang w:val="en-US" w:eastAsia="zh-CN"/>
        </w:rPr>
        <w:t xml:space="preserve">the reporting is triggered by MAC CE, the funtionality activation delay is </w:t>
      </w:r>
      <w:r>
        <w:rPr>
          <w:rFonts w:hint="default" w:ascii="Times New Roman" w:hAnsi="Times New Roman" w:eastAsia="Malgun Gothic" w:cs="Times New Roman"/>
          <w:b/>
          <w:bCs/>
          <w:i/>
          <w:iCs/>
          <w:sz w:val="20"/>
          <w:szCs w:val="20"/>
          <w:lang w:eastAsia="en-GB"/>
        </w:rPr>
        <w:t>T</w:t>
      </w:r>
      <w:r>
        <w:rPr>
          <w:rFonts w:hint="default" w:ascii="Times New Roman" w:hAnsi="Times New Roman" w:eastAsia="Malgun Gothic" w:cs="Times New Roman"/>
          <w:b/>
          <w:bCs/>
          <w:i/>
          <w:iCs/>
          <w:sz w:val="20"/>
          <w:szCs w:val="20"/>
          <w:vertAlign w:val="subscript"/>
          <w:lang w:eastAsia="en-GB"/>
        </w:rPr>
        <w:t xml:space="preserve">HARQ </w:t>
      </w:r>
      <w:r>
        <w:rPr>
          <w:rFonts w:hint="default" w:ascii="Times New Roman" w:hAnsi="Times New Roman" w:eastAsia="Malgun Gothic" w:cs="Times New Roman"/>
          <w:b/>
          <w:bCs/>
          <w:i/>
          <w:iCs/>
          <w:sz w:val="20"/>
          <w:szCs w:val="20"/>
          <w:lang w:eastAsia="en-GB"/>
        </w:rPr>
        <w:t>+ 3ms</w:t>
      </w:r>
      <w:r>
        <w:rPr>
          <w:rFonts w:hint="eastAsia" w:ascii="Times New Roman" w:hAnsi="Times New Roman" w:eastAsia="宋体" w:cs="Times New Roman"/>
          <w:b/>
          <w:bCs/>
          <w:i/>
          <w:iCs/>
          <w:sz w:val="20"/>
          <w:szCs w:val="20"/>
          <w:lang w:val="en-US" w:eastAsia="zh-CN"/>
        </w:rPr>
        <w:t xml:space="preserve"> +T</w:t>
      </w:r>
      <w:r>
        <w:rPr>
          <w:rFonts w:hint="eastAsia" w:ascii="Times New Roman" w:hAnsi="Times New Roman" w:eastAsia="宋体" w:cs="Times New Roman"/>
          <w:b/>
          <w:bCs/>
          <w:i/>
          <w:iCs/>
          <w:sz w:val="20"/>
          <w:szCs w:val="20"/>
          <w:vertAlign w:val="subscript"/>
          <w:lang w:val="en-US" w:eastAsia="zh-CN"/>
        </w:rPr>
        <w:t>measurement period for inference</w:t>
      </w:r>
      <w:r>
        <w:rPr>
          <w:rFonts w:hint="eastAsia" w:ascii="Times New Roman" w:hAnsi="Times New Roman" w:cs="Times New Roman"/>
          <w:b/>
          <w:bCs/>
          <w:i/>
          <w:iCs/>
          <w:sz w:val="20"/>
          <w:szCs w:val="20"/>
          <w:lang w:val="en-US" w:eastAsia="zh-CN"/>
        </w:rPr>
        <w:t xml:space="preserve">. </w:t>
      </w:r>
    </w:p>
    <w:p w14:paraId="45B5B227">
      <w:pPr>
        <w:spacing w:after="180" w:line="240" w:lineRule="exact"/>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3: for beam prediction, for the case that </w:t>
      </w:r>
      <w:r>
        <w:rPr>
          <w:rFonts w:hint="eastAsia" w:ascii="Times New Roman" w:hAnsi="Times New Roman" w:eastAsia="等线"/>
          <w:b/>
          <w:bCs/>
          <w:i/>
          <w:iCs/>
          <w:sz w:val="20"/>
          <w:szCs w:val="20"/>
          <w:lang w:val="en-US" w:eastAsia="zh-CN"/>
        </w:rPr>
        <w:t xml:space="preserve">the reporting is triggered by DCI, the funtionality activation delay is </w:t>
      </w:r>
      <w:r>
        <w:rPr>
          <w:rFonts w:hint="eastAsia" w:ascii="Times New Roman" w:hAnsi="Times New Roman" w:eastAsia="宋体" w:cs="Times New Roman"/>
          <w:b/>
          <w:bCs/>
          <w:i/>
          <w:iCs/>
          <w:sz w:val="20"/>
          <w:szCs w:val="20"/>
          <w:lang w:val="en-US" w:eastAsia="zh-CN"/>
        </w:rPr>
        <w:t>T</w:t>
      </w:r>
      <w:r>
        <w:rPr>
          <w:rFonts w:hint="eastAsia" w:ascii="Times New Roman" w:hAnsi="Times New Roman" w:eastAsia="宋体" w:cs="Times New Roman"/>
          <w:b/>
          <w:bCs/>
          <w:i/>
          <w:iCs/>
          <w:sz w:val="20"/>
          <w:szCs w:val="20"/>
          <w:vertAlign w:val="subscript"/>
          <w:lang w:val="en-US" w:eastAsia="zh-CN"/>
        </w:rPr>
        <w:t>measurement period for inference</w:t>
      </w:r>
      <w:r>
        <w:rPr>
          <w:rFonts w:hint="eastAsia" w:ascii="Times New Roman" w:hAnsi="Times New Roman" w:cs="Times New Roman"/>
          <w:b/>
          <w:bCs/>
          <w:i/>
          <w:iCs/>
          <w:sz w:val="20"/>
          <w:szCs w:val="20"/>
          <w:lang w:val="en-US" w:eastAsia="zh-CN"/>
        </w:rPr>
        <w:t>.</w:t>
      </w:r>
    </w:p>
    <w:p w14:paraId="48266123">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Observation 1: RAN1 agreed to introduce new RRC parameter for CSI report configuration to distinguish CSI report of AI-CSI prediction and non-AI CSI prediction.</w:t>
      </w:r>
    </w:p>
    <w:p w14:paraId="77A12968">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Proposal 4: for CSI prediction, it is proposed to define deactivation delay, considering that RAN1 agreed to introduce new RRC parameter for CSI report configuration to distinguish CSI report of AI-CSI prediction and non-AI CSI prediction.</w:t>
      </w:r>
    </w:p>
    <w:p w14:paraId="0FC98489">
      <w:pPr>
        <w:spacing w:after="180" w:line="240" w:lineRule="exact"/>
        <w:rPr>
          <w:rFonts w:hint="eastAsia" w:ascii="Times New Roman" w:hAnsi="Times New Roman" w:eastAsia="游明朝" w:cs="Times New Roman"/>
          <w:b/>
          <w:bCs/>
          <w:i/>
          <w:iCs/>
          <w:sz w:val="20"/>
          <w:szCs w:val="20"/>
          <w:lang w:val="en-US" w:eastAsia="zh-CN"/>
        </w:rPr>
      </w:pPr>
      <w:r>
        <w:rPr>
          <w:rFonts w:hint="eastAsia" w:ascii="Times New Roman" w:hAnsi="Times New Roman" w:eastAsia="游明朝" w:cs="Times New Roman"/>
          <w:b/>
          <w:bCs/>
          <w:i/>
          <w:iCs/>
          <w:sz w:val="20"/>
          <w:szCs w:val="20"/>
          <w:lang w:val="en-US" w:eastAsia="zh-CN"/>
        </w:rPr>
        <w:t xml:space="preserve">Proposal 5: for </w:t>
      </w:r>
      <w:r>
        <w:rPr>
          <w:rFonts w:hint="default" w:ascii="Times New Roman" w:hAnsi="Times New Roman" w:eastAsia="游明朝" w:cs="Times New Roman"/>
          <w:b/>
          <w:bCs/>
          <w:i/>
          <w:iCs/>
          <w:sz w:val="20"/>
          <w:szCs w:val="20"/>
          <w:lang w:eastAsia="zh-CN"/>
        </w:rPr>
        <w:t>AI/ML based beam management</w:t>
      </w:r>
      <w:r>
        <w:rPr>
          <w:rFonts w:hint="eastAsia" w:ascii="Times New Roman" w:hAnsi="Times New Roman" w:eastAsia="游明朝" w:cs="Times New Roman"/>
          <w:b/>
          <w:bCs/>
          <w:i/>
          <w:iCs/>
          <w:sz w:val="20"/>
          <w:szCs w:val="20"/>
          <w:lang w:val="en-US" w:eastAsia="zh-CN"/>
        </w:rPr>
        <w:t xml:space="preserve">, AI/ML based performance requirement should not be worse than the legacy measurement requirements.    </w:t>
      </w:r>
    </w:p>
    <w:p w14:paraId="01B0E021">
      <w:pPr>
        <w:tabs>
          <w:tab w:val="left" w:pos="1134"/>
        </w:tabs>
        <w:spacing w:after="180" w:line="240" w:lineRule="exact"/>
        <w:rPr>
          <w:rFonts w:hint="eastAsia" w:ascii="Times New Roman" w:hAnsi="Times New Roman"/>
          <w:sz w:val="20"/>
          <w:szCs w:val="20"/>
        </w:rPr>
      </w:pPr>
      <w:bookmarkStart w:id="8" w:name="_GoBack"/>
      <w:bookmarkEnd w:id="8"/>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13"/>
        <w:framePr w:wrap="auto" w:vAnchor="margin" w:hAnchor="text" w:yAlign="inline"/>
        <w:numPr>
          <w:ilvl w:val="0"/>
          <w:numId w:val="14"/>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234039</w:t>
      </w:r>
      <w:r>
        <w:rPr>
          <w:rFonts w:ascii="Times" w:hAnsi="Times" w:eastAsia="宋体"/>
          <w:b w:val="0"/>
          <w:sz w:val="20"/>
          <w:lang w:eastAsia="zh-CN"/>
        </w:rPr>
        <w:t xml:space="preserve">, </w:t>
      </w:r>
      <w:r>
        <w:rPr>
          <w:rFonts w:hint="eastAsia" w:ascii="Times" w:hAnsi="Times" w:eastAsia="宋体"/>
          <w:b w:val="0"/>
          <w:sz w:val="20"/>
          <w:lang w:eastAsia="zh-CN"/>
        </w:rPr>
        <w:t>New WID on Artificial Intelligence (AI)/Machine Learning (ML) for NR Air Interface</w:t>
      </w:r>
    </w:p>
    <w:p w14:paraId="2C8E11A6">
      <w:pPr>
        <w:pStyle w:val="13"/>
        <w:framePr w:wrap="auto" w:vAnchor="margin" w:hAnchor="text" w:yAlign="inline"/>
        <w:numPr>
          <w:ilvl w:val="0"/>
          <w:numId w:val="14"/>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 xml:space="preserve">243244, </w:t>
      </w:r>
      <w:r>
        <w:rPr>
          <w:rFonts w:hint="eastAsia" w:ascii="Times" w:hAnsi="Times" w:eastAsia="宋体"/>
          <w:b w:val="0"/>
          <w:sz w:val="20"/>
          <w:lang w:eastAsia="zh-CN"/>
        </w:rPr>
        <w:t>Revised WID on Artificial Intelligence (AI)/Machine Learning (ML) for NR Air Interface</w:t>
      </w:r>
    </w:p>
    <w:p w14:paraId="09F5461A">
      <w:pPr>
        <w:pStyle w:val="13"/>
        <w:framePr w:wrap="auto" w:vAnchor="margin" w:hAnchor="text" w:yAlign="inline"/>
        <w:numPr>
          <w:ilvl w:val="0"/>
          <w:numId w:val="14"/>
        </w:numPr>
        <w:ind w:right="400"/>
        <w:jc w:val="both"/>
        <w:rPr>
          <w:rFonts w:ascii="Times" w:hAnsi="Times" w:eastAsia="宋体"/>
          <w:b w:val="0"/>
          <w:sz w:val="20"/>
          <w:lang w:eastAsia="zh-CN"/>
        </w:rPr>
      </w:pPr>
      <w:r>
        <w:rPr>
          <w:rFonts w:hint="eastAsia" w:ascii="Times" w:hAnsi="Times" w:eastAsia="宋体"/>
          <w:b w:val="0"/>
          <w:sz w:val="20"/>
          <w:lang w:eastAsia="zh-CN"/>
        </w:rPr>
        <w:t>R4-2508080</w:t>
      </w:r>
      <w:r>
        <w:rPr>
          <w:rFonts w:hint="eastAsia" w:ascii="Times" w:hAnsi="Times" w:eastAsia="宋体"/>
          <w:b w:val="0"/>
          <w:sz w:val="20"/>
          <w:lang w:val="en-US" w:eastAsia="zh-CN"/>
        </w:rPr>
        <w:t>, WF on NR_AIML_air_part1, Qualcomm Incorporated</w:t>
      </w:r>
    </w:p>
    <w:p w14:paraId="2FAA37D9">
      <w:pPr>
        <w:pStyle w:val="13"/>
        <w:framePr w:wrap="auto" w:vAnchor="margin" w:hAnchor="text" w:yAlign="inline"/>
        <w:numPr>
          <w:ilvl w:val="0"/>
          <w:numId w:val="14"/>
        </w:numPr>
        <w:ind w:right="400"/>
        <w:jc w:val="both"/>
        <w:rPr>
          <w:rFonts w:ascii="Times" w:hAnsi="Times" w:eastAsia="宋体"/>
          <w:b w:val="0"/>
          <w:sz w:val="20"/>
          <w:lang w:eastAsia="zh-CN"/>
        </w:rPr>
      </w:pPr>
      <w:r>
        <w:rPr>
          <w:rFonts w:hint="eastAsia" w:ascii="Times" w:hAnsi="Times" w:eastAsia="宋体"/>
          <w:b w:val="0"/>
          <w:sz w:val="20"/>
          <w:lang w:eastAsia="zh-CN"/>
        </w:rPr>
        <w:t>R4-2505105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requirements for AI/ML air interface normative work</w:t>
      </w:r>
      <w:r>
        <w:rPr>
          <w:rFonts w:hint="eastAsia" w:ascii="Times" w:hAnsi="Times" w:eastAsia="宋体"/>
          <w:b w:val="0"/>
          <w:sz w:val="20"/>
          <w:lang w:val="en-US" w:eastAsia="zh-CN"/>
        </w:rPr>
        <w:t>, Qualcomm Incorporated</w:t>
      </w:r>
    </w:p>
    <w:p w14:paraId="15D475DD">
      <w:pPr>
        <w:pStyle w:val="13"/>
        <w:framePr w:wrap="auto" w:vAnchor="margin" w:hAnchor="text" w:yAlign="inline"/>
        <w:numPr>
          <w:ilvl w:val="0"/>
          <w:numId w:val="14"/>
        </w:numPr>
        <w:ind w:right="400"/>
        <w:jc w:val="both"/>
        <w:rPr>
          <w:rFonts w:ascii="Times" w:hAnsi="Times" w:eastAsia="宋体"/>
          <w:b w:val="0"/>
          <w:sz w:val="20"/>
          <w:lang w:eastAsia="zh-CN"/>
        </w:rPr>
      </w:pPr>
      <w:r>
        <w:rPr>
          <w:rFonts w:hint="eastAsia" w:ascii="Times" w:hAnsi="Times" w:eastAsia="宋体"/>
          <w:b w:val="0"/>
          <w:sz w:val="20"/>
          <w:lang w:eastAsia="zh-CN"/>
        </w:rPr>
        <w:t>R4-2502856</w:t>
      </w:r>
      <w:r>
        <w:rPr>
          <w:rFonts w:hint="eastAsia" w:ascii="Times" w:hAnsi="Times" w:eastAsia="宋体"/>
          <w:b w:val="0"/>
          <w:sz w:val="20"/>
          <w:lang w:val="en-US" w:eastAsia="zh-CN"/>
        </w:rPr>
        <w:t>, WF on the requirements for AI/ML air interfance, Qualcomm Incorporated</w:t>
      </w:r>
    </w:p>
    <w:p w14:paraId="4B1FD71B">
      <w:pPr>
        <w:pStyle w:val="13"/>
        <w:framePr w:wrap="auto" w:vAnchor="margin" w:hAnchor="text" w:yAlign="inline"/>
        <w:numPr>
          <w:ilvl w:val="0"/>
          <w:numId w:val="14"/>
        </w:numPr>
        <w:ind w:right="400"/>
        <w:jc w:val="both"/>
        <w:rPr>
          <w:rFonts w:ascii="Times" w:hAnsi="Times" w:eastAsia="宋体"/>
          <w:b w:val="0"/>
          <w:sz w:val="20"/>
          <w:lang w:eastAsia="zh-CN"/>
        </w:rPr>
      </w:pPr>
      <w:r>
        <w:rPr>
          <w:rFonts w:hint="eastAsia" w:ascii="Times" w:hAnsi="Times" w:eastAsia="宋体"/>
          <w:b w:val="0"/>
          <w:sz w:val="20"/>
          <w:lang w:eastAsia="zh-CN"/>
        </w:rPr>
        <w:t>R4-2420336</w:t>
      </w:r>
      <w:r>
        <w:rPr>
          <w:rFonts w:hint="eastAsia" w:ascii="Times" w:hAnsi="Times" w:eastAsia="宋体"/>
          <w:b w:val="0"/>
          <w:sz w:val="20"/>
          <w:lang w:val="en-US" w:eastAsia="zh-CN"/>
        </w:rPr>
        <w:t>, WF on AI/ML air interface part 2, Ericsson</w:t>
      </w:r>
    </w:p>
    <w:p w14:paraId="2F914823">
      <w:pPr>
        <w:pStyle w:val="13"/>
        <w:framePr w:wrap="auto" w:vAnchor="margin" w:hAnchor="text" w:yAlign="inline"/>
        <w:numPr>
          <w:ilvl w:val="0"/>
          <w:numId w:val="14"/>
        </w:numPr>
        <w:ind w:right="400"/>
        <w:jc w:val="both"/>
        <w:rPr>
          <w:rFonts w:ascii="Times" w:hAnsi="Times" w:eastAsia="宋体"/>
          <w:b w:val="0"/>
          <w:sz w:val="20"/>
          <w:lang w:eastAsia="zh-CN"/>
        </w:rPr>
      </w:pPr>
      <w:r>
        <w:rPr>
          <w:rFonts w:hint="eastAsia" w:ascii="Times" w:hAnsi="Times" w:eastAsia="宋体"/>
          <w:b w:val="0"/>
          <w:sz w:val="20"/>
          <w:lang w:eastAsia="zh-CN"/>
        </w:rPr>
        <w:t>R4-2417212</w:t>
      </w:r>
      <w:r>
        <w:rPr>
          <w:rFonts w:hint="eastAsia" w:ascii="Times" w:hAnsi="Times" w:eastAsia="宋体"/>
          <w:b w:val="0"/>
          <w:sz w:val="20"/>
          <w:lang w:val="en-US" w:eastAsia="zh-CN"/>
        </w:rPr>
        <w:t>, WF on requirements for AI/ML air interface</w:t>
      </w:r>
      <w:r>
        <w:rPr>
          <w:rFonts w:hint="eastAsia" w:ascii="Times" w:hAnsi="Times" w:eastAsia="宋体"/>
          <w:b w:val="0"/>
          <w:sz w:val="20"/>
          <w:lang w:eastAsia="zh-CN"/>
        </w:rPr>
        <w:t>, Qualcomm Incorporated</w:t>
      </w:r>
    </w:p>
    <w:p w14:paraId="3C3D9D5E">
      <w:pPr>
        <w:pStyle w:val="13"/>
        <w:framePr w:wrap="auto" w:vAnchor="margin" w:hAnchor="text" w:yAlign="inline"/>
        <w:numPr>
          <w:ilvl w:val="0"/>
          <w:numId w:val="14"/>
        </w:numPr>
        <w:ind w:right="400"/>
        <w:jc w:val="both"/>
        <w:rPr>
          <w:rFonts w:ascii="Times" w:hAnsi="Times" w:eastAsia="宋体"/>
          <w:b w:val="0"/>
          <w:sz w:val="20"/>
          <w:lang w:eastAsia="zh-CN"/>
        </w:rPr>
      </w:pPr>
      <w:r>
        <w:rPr>
          <w:rFonts w:hint="eastAsia" w:ascii="Times" w:hAnsi="Times" w:eastAsia="宋体"/>
          <w:b w:val="0"/>
          <w:sz w:val="20"/>
          <w:lang w:eastAsia="zh-CN"/>
        </w:rPr>
        <w:t>R5-24</w:t>
      </w:r>
      <w:r>
        <w:rPr>
          <w:rFonts w:hint="eastAsia" w:ascii="Times" w:hAnsi="Times" w:eastAsia="宋体"/>
          <w:b w:val="0"/>
          <w:sz w:val="20"/>
          <w:lang w:val="en-US" w:eastAsia="zh-CN"/>
        </w:rPr>
        <w:t>7647, Discussion on handling of AI/ML in RAN5, China Mobile, AT&amp;T, CAICT, Ericsson, Huawei, MediaTek, Nokia, ZTE</w:t>
      </w:r>
    </w:p>
    <w:p w14:paraId="6004D2CA">
      <w:pPr>
        <w:pStyle w:val="13"/>
        <w:framePr w:wrap="auto" w:vAnchor="margin" w:hAnchor="text" w:yAlign="inline"/>
        <w:numPr>
          <w:ilvl w:val="0"/>
          <w:numId w:val="14"/>
        </w:numPr>
        <w:ind w:right="400"/>
        <w:jc w:val="both"/>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4323</w:t>
      </w:r>
      <w:r>
        <w:rPr>
          <w:rFonts w:hint="eastAsia" w:ascii="Times" w:hAnsi="Times" w:eastAsia="宋体"/>
          <w:b w:val="0"/>
          <w:sz w:val="20"/>
          <w:lang w:eastAsia="zh-CN"/>
        </w:rPr>
        <w:t>, WF on AI/ML, Qualcomm Incorporated</w:t>
      </w:r>
    </w:p>
    <w:p w14:paraId="22934856">
      <w:pPr>
        <w:pStyle w:val="13"/>
        <w:framePr w:wrap="auto" w:vAnchor="margin" w:hAnchor="text" w:yAlign="inline"/>
        <w:numPr>
          <w:ilvl w:val="0"/>
          <w:numId w:val="14"/>
        </w:numPr>
        <w:ind w:right="400"/>
        <w:jc w:val="both"/>
        <w:rPr>
          <w:rFonts w:ascii="Times" w:hAnsi="Times" w:eastAsia="宋体"/>
          <w:b w:val="0"/>
          <w:sz w:val="20"/>
          <w:lang w:eastAsia="zh-CN"/>
        </w:rPr>
      </w:pPr>
      <w:r>
        <w:rPr>
          <w:rFonts w:hint="eastAsia" w:ascii="Times" w:hAnsi="Times" w:eastAsia="宋体"/>
          <w:b w:val="0"/>
          <w:sz w:val="20"/>
          <w:lang w:eastAsia="zh-CN"/>
        </w:rPr>
        <w:t>R4-2410570, WF on AI/ML, Qualcomm Incorporated</w:t>
      </w:r>
    </w:p>
    <w:p w14:paraId="0FB9B0FB">
      <w:pPr>
        <w:pStyle w:val="13"/>
        <w:framePr w:wrap="auto" w:vAnchor="margin" w:hAnchor="text" w:yAlign="inline"/>
        <w:numPr>
          <w:ilvl w:val="0"/>
          <w:numId w:val="14"/>
        </w:numPr>
        <w:ind w:right="400"/>
        <w:jc w:val="both"/>
        <w:rPr>
          <w:rFonts w:ascii="Times" w:hAnsi="Times" w:eastAsia="宋体"/>
          <w:b w:val="0"/>
          <w:sz w:val="20"/>
          <w:lang w:eastAsia="zh-CN"/>
        </w:rPr>
      </w:pPr>
      <w:r>
        <w:rPr>
          <w:rFonts w:hint="eastAsia" w:ascii="Times" w:hAnsi="Times" w:eastAsia="宋体"/>
          <w:b w:val="0"/>
          <w:sz w:val="20"/>
          <w:lang w:eastAsia="zh-CN"/>
        </w:rPr>
        <w:t>R4-2406617, WF on AI/ML, Qualcomm Incorporated</w:t>
      </w:r>
    </w:p>
    <w:p w14:paraId="7607198C">
      <w:pPr>
        <w:pStyle w:val="13"/>
        <w:framePr w:wrap="auto" w:vAnchor="margin" w:hAnchor="text" w:yAlign="inline"/>
        <w:ind w:right="400"/>
        <w:jc w:val="both"/>
        <w:rPr>
          <w:rFonts w:ascii="Times" w:hAnsi="Times" w:eastAsia="宋体"/>
          <w:b w:val="0"/>
          <w:sz w:val="20"/>
          <w:lang w:eastAsia="zh-CN"/>
        </w:rPr>
      </w:pPr>
      <w:r>
        <w:rPr>
          <w:rFonts w:hint="eastAsia" w:ascii="Times" w:hAnsi="Times" w:eastAsia="宋体"/>
          <w:b w:val="0"/>
          <w:sz w:val="20"/>
          <w:lang w:val="en-US" w:eastAsia="zh-CN"/>
        </w:rPr>
        <w:t xml:space="preserve">[5] 3GPP TR 38.843, Study on Artificial Intelligence (AI)/Machine Learning (ML) for NR air interface </w:t>
      </w:r>
    </w:p>
    <w:p w14:paraId="37C6161F">
      <w:pPr>
        <w:pStyle w:val="13"/>
        <w:framePr w:wrap="auto" w:vAnchor="margin" w:hAnchor="text" w:yAlign="inline"/>
        <w:ind w:right="400"/>
        <w:jc w:val="both"/>
        <w:rPr>
          <w:rFonts w:ascii="Times" w:hAnsi="Times" w:eastAsia="宋体"/>
          <w:b w:val="0"/>
          <w:sz w:val="20"/>
          <w:lang w:eastAsia="zh-CN"/>
        </w:rPr>
      </w:pPr>
    </w:p>
    <w:p w14:paraId="32EF543F">
      <w:pPr>
        <w:pStyle w:val="13"/>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游明朝">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024950C8"/>
    <w:multiLevelType w:val="multilevel"/>
    <w:tmpl w:val="024950C8"/>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2">
    <w:nsid w:val="0F060723"/>
    <w:multiLevelType w:val="multilevel"/>
    <w:tmpl w:val="0F060723"/>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Times New Roman"/>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Times New Roman"/>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Times New Roman"/>
      </w:rPr>
    </w:lvl>
    <w:lvl w:ilvl="8" w:tentative="0">
      <w:start w:val="1"/>
      <w:numFmt w:val="bullet"/>
      <w:lvlText w:val=""/>
      <w:lvlJc w:val="left"/>
      <w:pPr>
        <w:ind w:left="6120" w:hanging="360"/>
      </w:pPr>
      <w:rPr>
        <w:rFonts w:hint="default" w:ascii="Wingdings" w:hAnsi="Wingdings"/>
      </w:rPr>
    </w:lvl>
  </w:abstractNum>
  <w:abstractNum w:abstractNumId="3">
    <w:nsid w:val="124059CF"/>
    <w:multiLevelType w:val="multilevel"/>
    <w:tmpl w:val="124059CF"/>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30392B70"/>
    <w:multiLevelType w:val="multilevel"/>
    <w:tmpl w:val="30392B70"/>
    <w:lvl w:ilvl="0" w:tentative="0">
      <w:start w:val="1"/>
      <w:numFmt w:val="bullet"/>
      <w:lvlText w:val=""/>
      <w:lvlJc w:val="left"/>
      <w:pPr>
        <w:ind w:left="644" w:hanging="360"/>
      </w:pPr>
      <w:rPr>
        <w:rFonts w:hint="default" w:ascii="Symbol" w:hAnsi="Symbol"/>
      </w:rPr>
    </w:lvl>
    <w:lvl w:ilvl="1" w:tentative="0">
      <w:start w:val="0"/>
      <w:numFmt w:val="bullet"/>
      <w:lvlText w:val="•"/>
      <w:lvlJc w:val="left"/>
      <w:pPr>
        <w:ind w:left="1364" w:hanging="360"/>
      </w:pPr>
      <w:rPr>
        <w:rFonts w:hint="default" w:ascii="Times New Roman" w:hAnsi="Times New Roman" w:eastAsia="Times New Roman" w:cs="Times New Roman"/>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6">
    <w:nsid w:val="34BE209D"/>
    <w:multiLevelType w:val="multilevel"/>
    <w:tmpl w:val="34BE209D"/>
    <w:lvl w:ilvl="0" w:tentative="0">
      <w:start w:val="5"/>
      <w:numFmt w:val="bullet"/>
      <w:lvlText w:val=""/>
      <w:lvlJc w:val="left"/>
      <w:pPr>
        <w:ind w:left="800" w:hanging="400"/>
      </w:pPr>
      <w:rPr>
        <w:rFonts w:hint="default" w:ascii="Symbol" w:hAnsi="Symbol" w:eastAsia="宋体" w:cs="Times New Roman"/>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7">
    <w:nsid w:val="3AA46647"/>
    <w:multiLevelType w:val="multilevel"/>
    <w:tmpl w:val="3AA46647"/>
    <w:lvl w:ilvl="0" w:tentative="0">
      <w:start w:val="1"/>
      <w:numFmt w:val="decimal"/>
      <w:pStyle w:val="1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FEA00F7"/>
    <w:multiLevelType w:val="multilevel"/>
    <w:tmpl w:val="4FEA00F7"/>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o"/>
      <w:lvlJc w:val="left"/>
      <w:pPr>
        <w:ind w:left="1200" w:hanging="36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5A40026E"/>
    <w:multiLevelType w:val="multilevel"/>
    <w:tmpl w:val="5A40026E"/>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10">
    <w:nsid w:val="65565676"/>
    <w:multiLevelType w:val="multilevel"/>
    <w:tmpl w:val="6556567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70146DC0"/>
    <w:multiLevelType w:val="multilevel"/>
    <w:tmpl w:val="70146DC0"/>
    <w:lvl w:ilvl="0" w:tentative="0">
      <w:start w:val="1"/>
      <w:numFmt w:val="bullet"/>
      <w:pStyle w:val="1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3">
    <w:nsid w:val="78DB4C02"/>
    <w:multiLevelType w:val="multilevel"/>
    <w:tmpl w:val="78DB4C02"/>
    <w:lvl w:ilvl="0" w:tentative="0">
      <w:start w:val="0"/>
      <w:numFmt w:val="bullet"/>
      <w:lvlText w:val="-"/>
      <w:lvlJc w:val="left"/>
      <w:pPr>
        <w:tabs>
          <w:tab w:val="left" w:pos="0"/>
        </w:tabs>
        <w:ind w:left="720" w:hanging="360"/>
      </w:pPr>
      <w:rPr>
        <w:rFonts w:hint="default" w:ascii="Times New Roman" w:hAnsi="Times New Roman" w:cs="Times New Roman"/>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num w:numId="1">
    <w:abstractNumId w:val="12"/>
  </w:num>
  <w:num w:numId="2">
    <w:abstractNumId w:val="7"/>
  </w:num>
  <w:num w:numId="3">
    <w:abstractNumId w:val="11"/>
  </w:num>
  <w:num w:numId="4">
    <w:abstractNumId w:val="4"/>
  </w:num>
  <w:num w:numId="5">
    <w:abstractNumId w:val="9"/>
  </w:num>
  <w:num w:numId="6">
    <w:abstractNumId w:val="2"/>
  </w:num>
  <w:num w:numId="7">
    <w:abstractNumId w:val="5"/>
  </w:num>
  <w:num w:numId="8">
    <w:abstractNumId w:val="1"/>
  </w:num>
  <w:num w:numId="9">
    <w:abstractNumId w:val="3"/>
  </w:num>
  <w:num w:numId="10">
    <w:abstractNumId w:val="8"/>
  </w:num>
  <w:num w:numId="11">
    <w:abstractNumId w:val="6"/>
  </w:num>
  <w:num w:numId="12">
    <w:abstractNumId w:val="13"/>
  </w:num>
  <w:num w:numId="13">
    <w:abstractNumId w:val="1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642510"/>
    <w:rsid w:val="03C030A6"/>
    <w:rsid w:val="053428A8"/>
    <w:rsid w:val="08B50B7B"/>
    <w:rsid w:val="09405F3B"/>
    <w:rsid w:val="09B01C47"/>
    <w:rsid w:val="0A573618"/>
    <w:rsid w:val="0F4C27CC"/>
    <w:rsid w:val="0FA30B04"/>
    <w:rsid w:val="0FE50EF5"/>
    <w:rsid w:val="111346BF"/>
    <w:rsid w:val="11A46535"/>
    <w:rsid w:val="127D6382"/>
    <w:rsid w:val="142E3B2B"/>
    <w:rsid w:val="14A31207"/>
    <w:rsid w:val="14A423A8"/>
    <w:rsid w:val="15685863"/>
    <w:rsid w:val="15C5068C"/>
    <w:rsid w:val="18B21538"/>
    <w:rsid w:val="198619D0"/>
    <w:rsid w:val="1A720A97"/>
    <w:rsid w:val="1C970BAC"/>
    <w:rsid w:val="25C11700"/>
    <w:rsid w:val="2F3D15B9"/>
    <w:rsid w:val="31890F43"/>
    <w:rsid w:val="342D50A6"/>
    <w:rsid w:val="34453CA2"/>
    <w:rsid w:val="35D22FBC"/>
    <w:rsid w:val="393E203F"/>
    <w:rsid w:val="39C97388"/>
    <w:rsid w:val="3BFF4ED4"/>
    <w:rsid w:val="3DEF01B7"/>
    <w:rsid w:val="3E9E1A93"/>
    <w:rsid w:val="44715EBB"/>
    <w:rsid w:val="47E11C0A"/>
    <w:rsid w:val="4D3D03C8"/>
    <w:rsid w:val="4E1736E9"/>
    <w:rsid w:val="4E5A52AA"/>
    <w:rsid w:val="5516017D"/>
    <w:rsid w:val="5DCC0D69"/>
    <w:rsid w:val="61554B37"/>
    <w:rsid w:val="65E96850"/>
    <w:rsid w:val="6A356F1A"/>
    <w:rsid w:val="6AC458C1"/>
    <w:rsid w:val="6C8E3A48"/>
    <w:rsid w:val="6D205895"/>
    <w:rsid w:val="6F3538B4"/>
    <w:rsid w:val="6F984846"/>
    <w:rsid w:val="715440AF"/>
    <w:rsid w:val="724D5513"/>
    <w:rsid w:val="739A5EFA"/>
    <w:rsid w:val="753E3654"/>
    <w:rsid w:val="75886832"/>
    <w:rsid w:val="77D070AC"/>
    <w:rsid w:val="79D9262A"/>
    <w:rsid w:val="7A4603DC"/>
    <w:rsid w:val="7AB15C57"/>
    <w:rsid w:val="7C3F4164"/>
    <w:rsid w:val="7E404DF7"/>
    <w:rsid w:val="7F46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0"/>
  </w:style>
  <w:style w:type="paragraph" w:styleId="5">
    <w:name w:val="Date"/>
    <w:basedOn w:val="1"/>
    <w:next w:val="1"/>
    <w:unhideWhenUsed/>
    <w:qFormat/>
    <w:uiPriority w:val="99"/>
    <w:pPr>
      <w:ind w:left="100" w:leftChars="2500"/>
    </w:pPr>
  </w:style>
  <w:style w:type="paragraph" w:styleId="6">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7">
    <w:name w:val="List"/>
    <w:basedOn w:val="1"/>
    <w:semiHidden/>
    <w:qFormat/>
    <w:uiPriority w:val="0"/>
    <w:pPr>
      <w:ind w:left="568" w:hanging="284"/>
    </w:pPr>
  </w:style>
  <w:style w:type="table" w:styleId="9">
    <w:name w:val="Table Grid"/>
    <w:basedOn w:val="8"/>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qFormat/>
    <w:uiPriority w:val="34"/>
    <w:pPr>
      <w:widowControl/>
      <w:ind w:firstLine="420" w:firstLineChars="200"/>
      <w:jc w:val="left"/>
    </w:pPr>
    <w:rPr>
      <w:rFonts w:ascii="宋体" w:hAnsi="宋体"/>
      <w:kern w:val="0"/>
    </w:rPr>
  </w:style>
  <w:style w:type="paragraph" w:customStyle="1" w:styleId="12">
    <w:name w:val="Proposal"/>
    <w:basedOn w:val="4"/>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B1"/>
    <w:basedOn w:val="1"/>
    <w:qFormat/>
    <w:uiPriority w:val="0"/>
    <w:pPr>
      <w:ind w:left="568" w:hanging="284"/>
    </w:pPr>
  </w:style>
  <w:style w:type="paragraph" w:customStyle="1" w:styleId="15">
    <w:name w:val="B2"/>
    <w:basedOn w:val="1"/>
    <w:qFormat/>
    <w:uiPriority w:val="0"/>
    <w:pPr>
      <w:ind w:left="851" w:hanging="284"/>
    </w:pPr>
  </w:style>
  <w:style w:type="paragraph" w:customStyle="1" w:styleId="16">
    <w:name w:val="B3"/>
    <w:basedOn w:val="1"/>
    <w:qFormat/>
    <w:uiPriority w:val="0"/>
    <w:pPr>
      <w:ind w:left="1135" w:hanging="284"/>
    </w:pPr>
  </w:style>
  <w:style w:type="paragraph" w:customStyle="1" w:styleId="17">
    <w:name w:val="Agreement"/>
    <w:basedOn w:val="1"/>
    <w:next w:val="18"/>
    <w:qFormat/>
    <w:uiPriority w:val="99"/>
    <w:pPr>
      <w:numPr>
        <w:ilvl w:val="0"/>
        <w:numId w:val="3"/>
      </w:numPr>
      <w:spacing w:before="60"/>
    </w:pPr>
    <w:rPr>
      <w:b/>
    </w:rPr>
  </w:style>
  <w:style w:type="paragraph" w:customStyle="1" w:styleId="18">
    <w:name w:val="Doc-text2"/>
    <w:basedOn w:val="1"/>
    <w:qFormat/>
    <w:uiPriority w:val="0"/>
    <w:pPr>
      <w:tabs>
        <w:tab w:val="left" w:pos="1622"/>
      </w:tabs>
      <w:spacing w:before="0"/>
      <w:ind w:left="1622" w:hanging="363"/>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CMCC-RAN4#116</cp:lastModifiedBy>
  <dcterms:modified xsi:type="dcterms:W3CDTF">2025-08-15T08:19:19Z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6869B0C1A34749A384ADE3AAD7A61322</vt:lpwstr>
  </property>
</Properties>
</file>